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C555C8">
      <w:pPr>
        <w:pStyle w:val="6"/>
        <w:spacing w:before="0" w:after="240" w:line="560" w:lineRule="exact"/>
        <w:jc w:val="center"/>
        <w:rPr>
          <w:rFonts w:ascii="Times New Roman" w:hAnsi="Times New Roman" w:eastAsia="仿宋"/>
          <w:color w:val="000000" w:themeColor="text1"/>
          <w:sz w:val="36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"/>
          <w:color w:val="000000" w:themeColor="text1"/>
          <w:sz w:val="36"/>
          <w14:textFill>
            <w14:solidFill>
              <w14:schemeClr w14:val="tx1"/>
            </w14:solidFill>
          </w14:textFill>
        </w:rPr>
        <w:t>关于报名参加2027</w:t>
      </w:r>
      <w:r>
        <w:rPr>
          <w:rFonts w:hint="eastAsia" w:ascii="Times New Roman" w:hAnsi="Times New Roman" w:eastAsia="仿宋"/>
          <w:color w:val="000000" w:themeColor="text1"/>
          <w:sz w:val="36"/>
          <w:lang w:val="en-US" w:eastAsia="zh-CN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"/>
          <w:color w:val="000000" w:themeColor="text1"/>
          <w:sz w:val="36"/>
          <w:lang w:eastAsia="zh-CN"/>
          <w14:textFill>
            <w14:solidFill>
              <w14:schemeClr w14:val="tx1"/>
            </w14:solidFill>
          </w14:textFill>
        </w:rPr>
        <w:t>寒假</w:t>
      </w:r>
      <w:r>
        <w:rPr>
          <w:rFonts w:ascii="Times New Roman" w:hAnsi="Times New Roman" w:eastAsia="仿宋"/>
          <w:color w:val="000000" w:themeColor="text1"/>
          <w:sz w:val="36"/>
          <w14:textFill>
            <w14:solidFill>
              <w14:schemeClr w14:val="tx1"/>
            </w14:solidFill>
          </w14:textFill>
        </w:rPr>
        <w:t>澳大利亚墨尔本大学学术写作与科研能力提升</w:t>
      </w:r>
      <w:r>
        <w:rPr>
          <w:rFonts w:hint="eastAsia" w:ascii="Times New Roman" w:hAnsi="Times New Roman" w:eastAsia="仿宋"/>
          <w:color w:val="000000" w:themeColor="text1"/>
          <w:sz w:val="36"/>
          <w:lang w:val="en-US" w:eastAsia="zh-CN"/>
          <w14:textFill>
            <w14:solidFill>
              <w14:schemeClr w14:val="tx1"/>
            </w14:solidFill>
          </w14:textFill>
        </w:rPr>
        <w:t>+人工智能/教育主题</w:t>
      </w:r>
      <w:r>
        <w:rPr>
          <w:rFonts w:ascii="Times New Roman" w:hAnsi="Times New Roman" w:eastAsia="仿宋"/>
          <w:color w:val="000000" w:themeColor="text1"/>
          <w:sz w:val="36"/>
          <w14:textFill>
            <w14:solidFill>
              <w14:schemeClr w14:val="tx1"/>
            </w14:solidFill>
          </w14:textFill>
        </w:rPr>
        <w:t>访学项目的通知</w:t>
      </w:r>
    </w:p>
    <w:p w14:paraId="435BBBFD"/>
    <w:p w14:paraId="67F8FCA1">
      <w:pPr>
        <w:spacing w:after="240" w:line="360" w:lineRule="auto"/>
      </w:pPr>
      <w:r>
        <w:rPr>
          <w:rFonts w:ascii="Times New Roman" w:hAnsi="Times New Roman" w:eastAsia="仿宋"/>
          <w:b w:val="0"/>
          <w:color w:val="000000"/>
          <w:sz w:val="24"/>
        </w:rPr>
        <w:t>为帮助我校学生深入了解国际高校学术文化与科研规范，系统提升学术写作与科研能力，拓展国际学术视野，现向我校学生推出全球顶尖研究型大学澳大利亚墨尔本大学</w:t>
      </w:r>
      <w:r>
        <w:rPr>
          <w:rFonts w:hint="eastAsia" w:ascii="Times New Roman" w:hAnsi="Times New Roman" w:eastAsia="仿宋"/>
          <w:b w:val="0"/>
          <w:color w:val="000000"/>
          <w:sz w:val="24"/>
        </w:rPr>
        <w:t>“</w:t>
      </w:r>
      <w:r>
        <w:rPr>
          <w:rFonts w:ascii="Times New Roman" w:hAnsi="Times New Roman" w:eastAsia="仿宋"/>
          <w:b/>
          <w:bCs/>
          <w:color w:val="000000"/>
          <w:sz w:val="24"/>
        </w:rPr>
        <w:t>学术写作与科研能力提升</w:t>
      </w:r>
      <w:r>
        <w:rPr>
          <w:rFonts w:hint="eastAsia" w:ascii="Times New Roman" w:hAnsi="Times New Roman" w:eastAsia="仿宋"/>
          <w:b/>
          <w:bCs/>
          <w:color w:val="000000"/>
          <w:sz w:val="24"/>
          <w:lang w:eastAsia="zh-CN"/>
        </w:rPr>
        <w:t>+人工智能/教育主题</w:t>
      </w:r>
      <w:r>
        <w:rPr>
          <w:rFonts w:hint="eastAsia" w:ascii="Times New Roman" w:hAnsi="Times New Roman" w:eastAsia="仿宋"/>
          <w:b w:val="0"/>
          <w:color w:val="000000"/>
          <w:sz w:val="24"/>
          <w:lang w:eastAsia="zh-CN"/>
        </w:rPr>
        <w:t>”</w:t>
      </w:r>
      <w:r>
        <w:rPr>
          <w:rFonts w:ascii="Times New Roman" w:hAnsi="Times New Roman" w:eastAsia="仿宋"/>
          <w:b w:val="0"/>
          <w:color w:val="000000"/>
          <w:sz w:val="24"/>
        </w:rPr>
        <w:t>访学项目。项目以海外高校真实科研训练体系为参照，完整还原大学科研的基本运行逻辑，系统涵盖研究问题的提出与聚焦、学术文献的规范检索与批判性阅读、研究路径与方法设计，以及学术成果的结构化表达与呈现，帮助学生构建系统研究思维、全面提升学术研究核心素养。现将有关事项通知如下：</w:t>
      </w:r>
    </w:p>
    <w:p w14:paraId="3646244E">
      <w:pPr>
        <w:spacing w:before="120" w:after="80" w:line="360" w:lineRule="auto"/>
      </w:pPr>
      <w:r>
        <w:rPr>
          <w:rFonts w:ascii="Times New Roman" w:hAnsi="Times New Roman" w:eastAsia="仿宋"/>
          <w:b/>
          <w:color w:val="000000"/>
          <w:sz w:val="28"/>
        </w:rPr>
        <w:t>一、学校简介</w:t>
      </w:r>
    </w:p>
    <w:p w14:paraId="3BD14E58">
      <w:pPr>
        <w:spacing w:after="160" w:line="360" w:lineRule="auto"/>
      </w:pPr>
      <w:r>
        <w:rPr>
          <w:rFonts w:ascii="Times New Roman" w:hAnsi="Times New Roman" w:eastAsia="仿宋"/>
          <w:b w:val="0"/>
          <w:color w:val="000000"/>
          <w:sz w:val="24"/>
        </w:rPr>
        <w:t>墨尔本大学（The University of Melbourne）成立于1853年，是</w:t>
      </w:r>
      <w:r>
        <w:rPr>
          <w:rFonts w:hint="eastAsia" w:ascii="Times New Roman" w:hAnsi="Times New Roman" w:eastAsia="仿宋"/>
          <w:b w:val="0"/>
          <w:color w:val="000000"/>
          <w:sz w:val="24"/>
        </w:rPr>
        <w:t>澳大利亚历史悠久的顶尖研究型大学，也是澳大利亚“八校联盟”（Group of Eight）核心成员之一</w:t>
      </w:r>
      <w:r>
        <w:rPr>
          <w:rFonts w:hint="eastAsia" w:ascii="Times New Roman" w:hAnsi="Times New Roman" w:eastAsia="仿宋"/>
          <w:b w:val="0"/>
          <w:color w:val="000000"/>
          <w:sz w:val="24"/>
          <w:lang w:eastAsia="zh-CN"/>
        </w:rPr>
        <w:t>。</w:t>
      </w:r>
      <w:r>
        <w:rPr>
          <w:rFonts w:hint="eastAsia" w:ascii="Times New Roman" w:hAnsi="Times New Roman" w:eastAsia="仿宋"/>
          <w:b w:val="0"/>
          <w:color w:val="000000"/>
          <w:sz w:val="24"/>
        </w:rPr>
        <w:t>在2027年QS世界大学排名中，墨尔本大学位列全球第22位；在2026年泰晤士高等教育（THE）世界大学排名中位列澳大利亚第1位，充分体现了其卓越的综合办学实力</w:t>
      </w:r>
      <w:r>
        <w:rPr>
          <w:rFonts w:ascii="Times New Roman" w:hAnsi="Times New Roman" w:eastAsia="仿宋"/>
          <w:b w:val="0"/>
          <w:color w:val="000000"/>
          <w:sz w:val="24"/>
        </w:rPr>
        <w:t>。</w:t>
      </w:r>
    </w:p>
    <w:p w14:paraId="5F529D28">
      <w:pPr>
        <w:spacing w:after="160" w:line="360" w:lineRule="auto"/>
      </w:pPr>
      <w:r>
        <w:rPr>
          <w:rFonts w:hint="eastAsia" w:ascii="Times New Roman" w:hAnsi="Times New Roman" w:eastAsia="仿宋"/>
          <w:b w:val="0"/>
          <w:color w:val="000000"/>
          <w:sz w:val="24"/>
        </w:rPr>
        <w:t>学校设有文、商、医、法、工、理、教育、艺术等多个学科领域。在2026年QS世界大学学科排名中，共有42个细分学科进入全球前50，学科实力覆盖面广，为不同专业背景学生开展跨学科学习与学术探索提供了良好环境。</w:t>
      </w:r>
      <w:r>
        <w:rPr>
          <w:rFonts w:ascii="Times New Roman" w:hAnsi="Times New Roman" w:eastAsia="仿宋"/>
          <w:b w:val="0"/>
          <w:color w:val="000000"/>
          <w:sz w:val="24"/>
        </w:rPr>
        <w:t>其中，教育与培训学科全球排名第1</w:t>
      </w:r>
      <w:r>
        <w:rPr>
          <w:rFonts w:hint="eastAsia" w:ascii="Times New Roman" w:hAnsi="Times New Roman" w:eastAsia="仿宋"/>
          <w:b w:val="0"/>
          <w:color w:val="000000"/>
          <w:sz w:val="24"/>
          <w:lang w:val="en-US" w:eastAsia="zh-CN"/>
        </w:rPr>
        <w:t>5</w:t>
      </w:r>
      <w:r>
        <w:rPr>
          <w:rFonts w:ascii="Times New Roman" w:hAnsi="Times New Roman" w:eastAsia="仿宋"/>
          <w:b w:val="0"/>
          <w:color w:val="000000"/>
          <w:sz w:val="24"/>
        </w:rPr>
        <w:t>位，位居全澳第一。</w:t>
      </w:r>
    </w:p>
    <w:p w14:paraId="4C1973C4">
      <w:pPr>
        <w:spacing w:after="240" w:line="360" w:lineRule="auto"/>
      </w:pPr>
      <w:r>
        <w:rPr>
          <w:rFonts w:ascii="Times New Roman" w:hAnsi="Times New Roman" w:eastAsia="仿宋"/>
          <w:b w:val="0"/>
          <w:color w:val="000000"/>
          <w:sz w:val="24"/>
        </w:rPr>
        <w:t>墨尔本是澳大利亚维多利亚州的首府，也是全国第二大都市区，被誉为澳大利亚乃至全球最具吸引力的现代化城市之一，在202</w:t>
      </w:r>
      <w:r>
        <w:rPr>
          <w:rFonts w:hint="eastAsia" w:ascii="Times New Roman" w:hAnsi="Times New Roman" w:eastAsia="仿宋"/>
          <w:b w:val="0"/>
          <w:color w:val="000000"/>
          <w:sz w:val="24"/>
          <w:lang w:val="en-US" w:eastAsia="zh-CN"/>
        </w:rPr>
        <w:t>6</w:t>
      </w:r>
      <w:r>
        <w:rPr>
          <w:rFonts w:ascii="Times New Roman" w:hAnsi="Times New Roman" w:eastAsia="仿宋"/>
          <w:b w:val="0"/>
          <w:color w:val="000000"/>
          <w:sz w:val="24"/>
        </w:rPr>
        <w:t>年全球宜居城市排名中位列世界第</w:t>
      </w:r>
      <w:r>
        <w:rPr>
          <w:rFonts w:hint="eastAsia" w:ascii="Times New Roman" w:hAnsi="Times New Roman" w:eastAsia="仿宋"/>
          <w:b w:val="0"/>
          <w:color w:val="000000"/>
          <w:sz w:val="24"/>
          <w:lang w:val="en-US" w:eastAsia="zh-CN"/>
        </w:rPr>
        <w:t>三</w:t>
      </w:r>
      <w:r>
        <w:rPr>
          <w:rFonts w:ascii="Times New Roman" w:hAnsi="Times New Roman" w:eastAsia="仿宋"/>
          <w:b w:val="0"/>
          <w:color w:val="000000"/>
          <w:sz w:val="24"/>
        </w:rPr>
        <w:t>。</w:t>
      </w:r>
      <w:r>
        <w:rPr>
          <w:rFonts w:hint="eastAsia" w:ascii="Times New Roman" w:hAnsi="Times New Roman" w:eastAsia="仿宋"/>
          <w:b w:val="0"/>
          <w:color w:val="000000"/>
          <w:sz w:val="24"/>
        </w:rPr>
        <w:t>城市汇聚墨尔本大学、蒙纳士大学、皇家墨尔本理工大学等世界知名高校，并拥有丰富的文化艺术、体育及城市公共资源，为学生提供良好的国际学习与城市体验环境。</w:t>
      </w:r>
    </w:p>
    <w:p w14:paraId="18BA2681">
      <w:pPr>
        <w:spacing w:before="120" w:after="80" w:line="360" w:lineRule="auto"/>
      </w:pPr>
      <w:r>
        <w:rPr>
          <w:rFonts w:ascii="Times New Roman" w:hAnsi="Times New Roman" w:eastAsia="仿宋"/>
          <w:b/>
          <w:color w:val="000000"/>
          <w:sz w:val="28"/>
        </w:rPr>
        <w:t>二、项目优势</w:t>
      </w:r>
    </w:p>
    <w:p w14:paraId="062F8FCF">
      <w:pPr>
        <w:spacing w:after="0" w:line="360" w:lineRule="auto"/>
      </w:pPr>
      <w:r>
        <w:rPr>
          <w:rFonts w:ascii="Times New Roman" w:hAnsi="Times New Roman" w:eastAsia="仿宋"/>
          <w:b/>
          <w:color w:val="000000"/>
          <w:sz w:val="24"/>
        </w:rPr>
        <w:t>1.</w:t>
      </w:r>
      <w:r>
        <w:rPr>
          <w:rFonts w:hint="eastAsia" w:ascii="Times New Roman" w:hAnsi="Times New Roman" w:eastAsia="仿宋"/>
          <w:b/>
          <w:color w:val="000000"/>
          <w:sz w:val="24"/>
        </w:rPr>
        <w:t>在世界一流大学环境中开展学术训练</w:t>
      </w:r>
    </w:p>
    <w:p w14:paraId="3A59DBAA">
      <w:pPr>
        <w:spacing w:after="0" w:line="360" w:lineRule="auto"/>
        <w:rPr>
          <w:rFonts w:hint="eastAsia" w:ascii="Times New Roman" w:hAnsi="Times New Roman" w:eastAsia="仿宋"/>
          <w:b w:val="0"/>
          <w:color w:val="000000"/>
          <w:sz w:val="24"/>
        </w:rPr>
      </w:pPr>
      <w:r>
        <w:rPr>
          <w:rFonts w:hint="eastAsia" w:ascii="Times New Roman" w:hAnsi="Times New Roman" w:eastAsia="仿宋"/>
          <w:b w:val="0"/>
          <w:color w:val="000000"/>
          <w:sz w:val="24"/>
        </w:rPr>
        <w:t>项目依托墨尔本大学国际化学术环境开展，通过课程、讲座、研讨及交流活动，帮助学生了解海外高校的学习方式、科研文化与学术规范，体验真实英文授课与学术交流环境。</w:t>
      </w:r>
    </w:p>
    <w:p w14:paraId="08DE225B">
      <w:pPr>
        <w:spacing w:after="0" w:line="360" w:lineRule="auto"/>
      </w:pPr>
      <w:r>
        <w:rPr>
          <w:rFonts w:ascii="Times New Roman" w:hAnsi="Times New Roman" w:eastAsia="仿宋"/>
          <w:b/>
          <w:color w:val="000000"/>
          <w:sz w:val="24"/>
        </w:rPr>
        <w:t>2.</w:t>
      </w:r>
      <w:r>
        <w:rPr>
          <w:rFonts w:hint="eastAsia" w:ascii="Times New Roman" w:hAnsi="Times New Roman" w:eastAsia="仿宋"/>
          <w:b/>
          <w:color w:val="000000"/>
          <w:sz w:val="24"/>
        </w:rPr>
        <w:t>系统提升学术写作与科研能力</w:t>
      </w:r>
    </w:p>
    <w:p w14:paraId="0B4AEEB3">
      <w:pPr>
        <w:spacing w:after="0" w:line="360" w:lineRule="auto"/>
        <w:rPr>
          <w:rFonts w:hint="eastAsia" w:ascii="Times New Roman" w:hAnsi="Times New Roman" w:eastAsia="仿宋"/>
          <w:b w:val="0"/>
          <w:color w:val="000000"/>
          <w:sz w:val="24"/>
        </w:rPr>
      </w:pPr>
      <w:r>
        <w:rPr>
          <w:rFonts w:hint="eastAsia" w:ascii="Times New Roman" w:hAnsi="Times New Roman" w:eastAsia="仿宋"/>
          <w:b w:val="0"/>
          <w:color w:val="000000"/>
          <w:sz w:val="24"/>
        </w:rPr>
        <w:t>课程并非单一写作培训，而是围绕科研全过程开展系统训练，涵盖：研究问题提出 → 文献检索 → 批判性阅读 → 研究设计 → 学术写作 → 成果展示</w:t>
      </w:r>
      <w:r>
        <w:rPr>
          <w:rFonts w:hint="eastAsia" w:ascii="Times New Roman" w:hAnsi="Times New Roman" w:eastAsia="仿宋"/>
          <w:b w:val="0"/>
          <w:color w:val="000000"/>
          <w:sz w:val="24"/>
          <w:lang w:val="en-US" w:eastAsia="zh-CN"/>
        </w:rPr>
        <w:t>等环节，</w:t>
      </w:r>
      <w:r>
        <w:rPr>
          <w:rFonts w:hint="eastAsia" w:ascii="Times New Roman" w:hAnsi="Times New Roman" w:eastAsia="仿宋"/>
          <w:b w:val="0"/>
          <w:color w:val="000000"/>
          <w:sz w:val="24"/>
        </w:rPr>
        <w:t>帮助学生建立较为完整的研究思维和学术能力框架。</w:t>
      </w:r>
    </w:p>
    <w:p w14:paraId="1A4BB441">
      <w:pPr>
        <w:spacing w:after="0" w:line="360" w:lineRule="auto"/>
      </w:pPr>
      <w:r>
        <w:rPr>
          <w:rFonts w:ascii="Times New Roman" w:hAnsi="Times New Roman" w:eastAsia="仿宋"/>
          <w:b/>
          <w:color w:val="000000"/>
          <w:sz w:val="24"/>
        </w:rPr>
        <w:t>3.</w:t>
      </w:r>
      <w:r>
        <w:rPr>
          <w:rFonts w:hint="eastAsia" w:ascii="Times New Roman" w:hAnsi="Times New Roman" w:eastAsia="仿宋"/>
          <w:b/>
          <w:color w:val="000000"/>
          <w:sz w:val="24"/>
        </w:rPr>
        <w:t>强化英语学术表达能力</w:t>
      </w:r>
    </w:p>
    <w:p w14:paraId="404A6A33">
      <w:pPr>
        <w:spacing w:after="0" w:line="360" w:lineRule="auto"/>
        <w:rPr>
          <w:rFonts w:hint="eastAsia" w:ascii="Times New Roman" w:hAnsi="Times New Roman" w:eastAsia="仿宋"/>
          <w:b w:val="0"/>
          <w:color w:val="000000"/>
          <w:sz w:val="24"/>
        </w:rPr>
      </w:pPr>
      <w:r>
        <w:rPr>
          <w:rFonts w:hint="eastAsia" w:ascii="Times New Roman" w:hAnsi="Times New Roman" w:eastAsia="仿宋"/>
          <w:b w:val="0"/>
          <w:color w:val="000000"/>
          <w:sz w:val="24"/>
        </w:rPr>
        <w:t>通过英文课程、课堂讨论、小组任务及成果展示等形式，引导学生掌握学术英语写作与表达的基本规范，提升使用英语进行学术讨论、观点表达和研究成果汇报的能力。</w:t>
      </w:r>
    </w:p>
    <w:p w14:paraId="62DB1BED">
      <w:pPr>
        <w:spacing w:after="0" w:line="360" w:lineRule="auto"/>
      </w:pPr>
      <w:r>
        <w:rPr>
          <w:rFonts w:ascii="Times New Roman" w:hAnsi="Times New Roman" w:eastAsia="仿宋"/>
          <w:b/>
          <w:color w:val="000000"/>
          <w:sz w:val="24"/>
        </w:rPr>
        <w:t>4.方向化学术延展，支持多元兴趣</w:t>
      </w:r>
    </w:p>
    <w:p w14:paraId="5D976081">
      <w:pPr>
        <w:spacing w:after="0" w:line="360" w:lineRule="auto"/>
        <w:rPr>
          <w:rFonts w:ascii="Times New Roman" w:hAnsi="Times New Roman" w:eastAsia="仿宋"/>
          <w:b w:val="0"/>
          <w:color w:val="000000"/>
          <w:sz w:val="24"/>
        </w:rPr>
      </w:pPr>
      <w:r>
        <w:rPr>
          <w:rFonts w:ascii="Times New Roman" w:hAnsi="Times New Roman" w:eastAsia="仿宋"/>
          <w:b w:val="0"/>
          <w:color w:val="000000"/>
          <w:sz w:val="24"/>
        </w:rPr>
        <w:t>在核心科研技能训练的基础上，项目引入</w:t>
      </w:r>
      <w:r>
        <w:rPr>
          <w:rFonts w:hint="eastAsia" w:ascii="Times New Roman" w:hAnsi="Times New Roman" w:eastAsia="仿宋"/>
          <w:b/>
          <w:bCs/>
          <w:color w:val="000000"/>
          <w:sz w:val="24"/>
        </w:rPr>
        <w:t>人工智能/教育主题</w:t>
      </w:r>
      <w:r>
        <w:rPr>
          <w:rFonts w:ascii="Times New Roman" w:hAnsi="Times New Roman" w:eastAsia="仿宋"/>
          <w:b w:val="0"/>
          <w:color w:val="000000"/>
          <w:sz w:val="24"/>
        </w:rPr>
        <w:t>延展型课程模块，将通用研究方法与特定学科语境相结合，支持学生在人工智能</w:t>
      </w:r>
      <w:r>
        <w:rPr>
          <w:rFonts w:hint="eastAsia" w:ascii="Times New Roman" w:hAnsi="Times New Roman" w:eastAsia="仿宋"/>
          <w:b w:val="0"/>
          <w:color w:val="000000"/>
          <w:sz w:val="24"/>
          <w:lang w:eastAsia="zh-CN"/>
        </w:rPr>
        <w:t>、</w:t>
      </w:r>
      <w:r>
        <w:rPr>
          <w:rFonts w:hint="eastAsia" w:ascii="Times New Roman" w:hAnsi="Times New Roman" w:eastAsia="仿宋"/>
          <w:b w:val="0"/>
          <w:color w:val="000000"/>
          <w:sz w:val="24"/>
          <w:lang w:val="en-US" w:eastAsia="zh-CN"/>
        </w:rPr>
        <w:t>教育</w:t>
      </w:r>
      <w:r>
        <w:rPr>
          <w:rFonts w:ascii="Times New Roman" w:hAnsi="Times New Roman" w:eastAsia="仿宋"/>
          <w:b w:val="0"/>
          <w:color w:val="000000"/>
          <w:sz w:val="24"/>
        </w:rPr>
        <w:t>等专业方向开展更具针对性的学术探索，回应学生未来学术发展的不同路径。</w:t>
      </w:r>
    </w:p>
    <w:p w14:paraId="143A0459">
      <w:pPr>
        <w:spacing w:after="0" w:line="360" w:lineRule="auto"/>
      </w:pPr>
      <w:r>
        <w:rPr>
          <w:rFonts w:hint="eastAsia" w:ascii="Times New Roman" w:hAnsi="Times New Roman" w:eastAsia="仿宋"/>
          <w:b/>
          <w:color w:val="000000"/>
          <w:sz w:val="24"/>
          <w:lang w:val="en-US" w:eastAsia="zh-CN"/>
        </w:rPr>
        <w:t>5</w:t>
      </w:r>
      <w:r>
        <w:rPr>
          <w:rFonts w:ascii="Times New Roman" w:hAnsi="Times New Roman" w:eastAsia="仿宋"/>
          <w:b/>
          <w:color w:val="000000"/>
          <w:sz w:val="24"/>
        </w:rPr>
        <w:t>.服务保障完备，安心专注学习</w:t>
      </w:r>
    </w:p>
    <w:p w14:paraId="114A3309">
      <w:pPr>
        <w:spacing w:after="240" w:line="360" w:lineRule="auto"/>
        <w:jc w:val="both"/>
      </w:pPr>
      <w:r>
        <w:rPr>
          <w:rFonts w:hint="eastAsia" w:ascii="Times New Roman" w:hAnsi="Times New Roman" w:eastAsia="仿宋"/>
          <w:b w:val="0"/>
          <w:color w:val="000000"/>
          <w:sz w:val="24"/>
          <w:lang w:val="en-US" w:eastAsia="zh-CN"/>
        </w:rPr>
        <w:t>项目</w:t>
      </w:r>
      <w:r>
        <w:rPr>
          <w:rFonts w:ascii="Times New Roman" w:hAnsi="Times New Roman" w:eastAsia="仿宋"/>
          <w:b w:val="0"/>
          <w:color w:val="000000"/>
          <w:sz w:val="24"/>
        </w:rPr>
        <w:t>提供从面试</w:t>
      </w:r>
      <w:r>
        <w:rPr>
          <w:rFonts w:hint="eastAsia" w:ascii="Times New Roman" w:hAnsi="Times New Roman" w:eastAsia="仿宋"/>
          <w:b w:val="0"/>
          <w:color w:val="000000"/>
          <w:sz w:val="24"/>
          <w:lang w:val="en-US" w:eastAsia="zh-CN"/>
        </w:rPr>
        <w:t>指</w:t>
      </w:r>
      <w:r>
        <w:rPr>
          <w:rFonts w:ascii="Times New Roman" w:hAnsi="Times New Roman" w:eastAsia="仿宋"/>
          <w:b w:val="0"/>
          <w:color w:val="000000"/>
          <w:sz w:val="24"/>
        </w:rPr>
        <w:t>导、签证指导与代办、机票预订建议、行程规划，到</w:t>
      </w:r>
      <w:r>
        <w:rPr>
          <w:rFonts w:hint="eastAsia" w:ascii="Times New Roman" w:hAnsi="Times New Roman" w:eastAsia="仿宋"/>
          <w:b w:val="0"/>
          <w:color w:val="000000"/>
          <w:sz w:val="24"/>
        </w:rPr>
        <w:t>协助办理境外保险及理赔咨询</w:t>
      </w:r>
      <w:r>
        <w:rPr>
          <w:rFonts w:ascii="Times New Roman" w:hAnsi="Times New Roman" w:eastAsia="仿宋"/>
          <w:b w:val="0"/>
          <w:color w:val="000000"/>
          <w:sz w:val="24"/>
        </w:rPr>
        <w:t>的全流程服务；项目期间配备完善的项目协调与支持机制，持续关注学生的学习安排、日常生活与安全情况，及时响应各类需求与突发状况。</w:t>
      </w:r>
    </w:p>
    <w:p w14:paraId="57C55843">
      <w:pPr>
        <w:spacing w:before="120" w:after="80" w:line="360" w:lineRule="auto"/>
      </w:pPr>
      <w:r>
        <w:rPr>
          <w:rFonts w:ascii="Times New Roman" w:hAnsi="Times New Roman" w:eastAsia="仿宋"/>
          <w:b/>
          <w:color w:val="000000"/>
          <w:sz w:val="28"/>
        </w:rPr>
        <w:t>三、项目介绍</w:t>
      </w:r>
    </w:p>
    <w:p w14:paraId="365526E7">
      <w:pPr>
        <w:spacing w:after="0" w:line="360" w:lineRule="auto"/>
      </w:pPr>
      <w:r>
        <w:rPr>
          <w:rFonts w:ascii="Times New Roman" w:hAnsi="Times New Roman" w:eastAsia="仿宋"/>
          <w:b/>
          <w:bCs/>
          <w:color w:val="000000"/>
          <w:sz w:val="24"/>
        </w:rPr>
        <w:t>1</w:t>
      </w:r>
      <w:r>
        <w:rPr>
          <w:rFonts w:ascii="Times New Roman" w:hAnsi="Times New Roman" w:eastAsia="仿宋"/>
          <w:b w:val="0"/>
          <w:color w:val="000000"/>
          <w:sz w:val="24"/>
        </w:rPr>
        <w:t>. 项目主题：学术写作与科研能力提升</w:t>
      </w:r>
      <w:r>
        <w:rPr>
          <w:rFonts w:hint="eastAsia" w:ascii="Times New Roman" w:hAnsi="Times New Roman" w:eastAsia="仿宋"/>
          <w:b w:val="0"/>
          <w:color w:val="000000"/>
          <w:sz w:val="24"/>
          <w:lang w:val="en-US" w:eastAsia="zh-CN"/>
        </w:rPr>
        <w:t>+</w:t>
      </w:r>
      <w:r>
        <w:rPr>
          <w:rFonts w:hint="eastAsia" w:ascii="Times New Roman" w:hAnsi="Times New Roman" w:eastAsia="仿宋"/>
          <w:b w:val="0"/>
          <w:bCs w:val="0"/>
          <w:color w:val="000000"/>
          <w:sz w:val="24"/>
          <w:lang w:eastAsia="zh-CN"/>
        </w:rPr>
        <w:t>人工智能/教育主题（</w:t>
      </w:r>
      <w:r>
        <w:rPr>
          <w:rFonts w:hint="eastAsia" w:ascii="Times New Roman" w:hAnsi="Times New Roman" w:eastAsia="仿宋"/>
          <w:b w:val="0"/>
          <w:bCs w:val="0"/>
          <w:color w:val="000000"/>
          <w:sz w:val="24"/>
          <w:lang w:val="en-US" w:eastAsia="zh-CN"/>
        </w:rPr>
        <w:t>专业课要达到20人才开班</w:t>
      </w:r>
      <w:bookmarkStart w:id="0" w:name="_GoBack"/>
      <w:bookmarkEnd w:id="0"/>
      <w:r>
        <w:rPr>
          <w:rFonts w:hint="eastAsia" w:ascii="Times New Roman" w:hAnsi="Times New Roman" w:eastAsia="仿宋"/>
          <w:b w:val="0"/>
          <w:bCs w:val="0"/>
          <w:color w:val="000000"/>
          <w:sz w:val="24"/>
          <w:lang w:eastAsia="zh-CN"/>
        </w:rPr>
        <w:t>）</w:t>
      </w:r>
    </w:p>
    <w:p w14:paraId="0B2A0BDB">
      <w:pPr>
        <w:spacing w:after="0" w:line="360" w:lineRule="auto"/>
        <w:rPr>
          <w:rFonts w:ascii="Times New Roman" w:hAnsi="Times New Roman" w:eastAsia="仿宋"/>
          <w:b w:val="0"/>
          <w:color w:val="000000"/>
          <w:sz w:val="24"/>
        </w:rPr>
      </w:pPr>
      <w:r>
        <w:rPr>
          <w:rFonts w:ascii="Times New Roman" w:hAnsi="Times New Roman" w:eastAsia="仿宋"/>
          <w:b/>
          <w:bCs/>
          <w:color w:val="000000"/>
          <w:sz w:val="24"/>
        </w:rPr>
        <w:t>2</w:t>
      </w:r>
      <w:r>
        <w:rPr>
          <w:rFonts w:ascii="Times New Roman" w:hAnsi="Times New Roman" w:eastAsia="仿宋"/>
          <w:b w:val="0"/>
          <w:color w:val="000000"/>
          <w:sz w:val="24"/>
        </w:rPr>
        <w:t>. 项目时间：</w:t>
      </w:r>
      <w:r>
        <w:rPr>
          <w:rFonts w:hint="eastAsia" w:ascii="Times New Roman" w:hAnsi="Times New Roman" w:eastAsia="仿宋"/>
          <w:b w:val="0"/>
          <w:color w:val="000000"/>
          <w:sz w:val="24"/>
        </w:rPr>
        <w:t>2027年1月20日-2月1日（含往返13天）</w:t>
      </w:r>
    </w:p>
    <w:p w14:paraId="2B249F75">
      <w:pPr>
        <w:spacing w:after="0" w:line="360" w:lineRule="auto"/>
        <w:rPr>
          <w:rFonts w:ascii="Times New Roman" w:hAnsi="Times New Roman" w:eastAsia="仿宋"/>
          <w:b w:val="0"/>
          <w:color w:val="000000"/>
          <w:sz w:val="24"/>
        </w:rPr>
      </w:pPr>
      <w:r>
        <w:rPr>
          <w:rFonts w:ascii="Times New Roman" w:hAnsi="Times New Roman" w:eastAsia="仿宋"/>
          <w:b w:val="0"/>
          <w:color w:val="000000"/>
          <w:sz w:val="24"/>
        </w:rPr>
        <w:t>* 具体出发、返回时间可能根据航班调度微调，以最终通知为准。</w:t>
      </w:r>
    </w:p>
    <w:p w14:paraId="3AEC57C7">
      <w:pPr>
        <w:spacing w:after="0" w:line="360" w:lineRule="auto"/>
        <w:rPr>
          <w:b/>
          <w:bCs/>
        </w:rPr>
      </w:pPr>
      <w:r>
        <w:rPr>
          <w:rFonts w:hint="eastAsia" w:ascii="Times New Roman" w:hAnsi="Times New Roman" w:eastAsia="仿宋"/>
          <w:b/>
          <w:bCs/>
          <w:color w:val="000000"/>
          <w:sz w:val="24"/>
          <w:lang w:val="en-US" w:eastAsia="zh-CN"/>
        </w:rPr>
        <w:t>3.</w:t>
      </w:r>
      <w:r>
        <w:rPr>
          <w:rFonts w:ascii="Times New Roman" w:hAnsi="Times New Roman" w:eastAsia="仿宋"/>
          <w:b w:val="0"/>
          <w:bCs w:val="0"/>
          <w:color w:val="000000"/>
          <w:sz w:val="24"/>
        </w:rPr>
        <w:t>主要课程内容</w:t>
      </w:r>
    </w:p>
    <w:p w14:paraId="1912AD44">
      <w:pPr>
        <w:spacing w:after="0" w:line="360" w:lineRule="auto"/>
        <w:rPr>
          <w:rFonts w:hint="eastAsia" w:ascii="Times New Roman" w:hAnsi="Times New Roman" w:eastAsia="仿宋"/>
          <w:b/>
          <w:bCs/>
          <w:color w:val="000000"/>
          <w:sz w:val="24"/>
        </w:rPr>
      </w:pPr>
      <w:r>
        <w:rPr>
          <w:rFonts w:hint="eastAsia" w:ascii="Times New Roman" w:hAnsi="Times New Roman" w:eastAsia="仿宋"/>
          <w:b/>
          <w:bCs/>
          <w:color w:val="000000"/>
          <w:sz w:val="24"/>
        </w:rPr>
        <w:t>13天</w:t>
      </w:r>
      <w:r>
        <w:rPr>
          <w:rFonts w:hint="eastAsia" w:ascii="Times New Roman" w:hAnsi="Times New Roman" w:eastAsia="仿宋"/>
          <w:b/>
          <w:bCs/>
          <w:color w:val="000000"/>
          <w:sz w:val="24"/>
          <w:lang w:val="en-US" w:eastAsia="zh-CN"/>
        </w:rPr>
        <w:t>墨尔本大学【</w:t>
      </w:r>
      <w:r>
        <w:rPr>
          <w:rFonts w:hint="eastAsia" w:ascii="Times New Roman" w:hAnsi="Times New Roman" w:eastAsia="仿宋"/>
          <w:b/>
          <w:bCs/>
          <w:color w:val="000000"/>
          <w:sz w:val="24"/>
        </w:rPr>
        <w:t>学术写作与科研能力提升课程 + 人工智能/教育主题</w:t>
      </w:r>
      <w:r>
        <w:rPr>
          <w:rFonts w:hint="eastAsia" w:ascii="Times New Roman" w:hAnsi="Times New Roman" w:eastAsia="仿宋"/>
          <w:b/>
          <w:bCs/>
          <w:color w:val="000000"/>
          <w:sz w:val="24"/>
          <w:lang w:eastAsia="zh-CN"/>
        </w:rPr>
        <w:t>】</w:t>
      </w:r>
      <w:r>
        <w:rPr>
          <w:rFonts w:hint="eastAsia" w:ascii="Times New Roman" w:hAnsi="Times New Roman" w:eastAsia="仿宋"/>
          <w:b/>
          <w:bCs/>
          <w:color w:val="000000"/>
          <w:sz w:val="24"/>
        </w:rPr>
        <w:t>项目：</w:t>
      </w:r>
    </w:p>
    <w:p w14:paraId="50A685E1">
      <w:pPr>
        <w:spacing w:after="0" w:line="360" w:lineRule="auto"/>
        <w:rPr>
          <w:rFonts w:hint="eastAsia" w:ascii="Times New Roman" w:hAnsi="Times New Roman" w:eastAsia="仿宋"/>
          <w:b w:val="0"/>
          <w:color w:val="000000"/>
          <w:sz w:val="24"/>
        </w:rPr>
      </w:pPr>
      <w:r>
        <w:rPr>
          <w:rFonts w:hint="eastAsia" w:ascii="Times New Roman" w:hAnsi="Times New Roman" w:eastAsia="仿宋"/>
          <w:b w:val="0"/>
          <w:color w:val="000000"/>
          <w:sz w:val="24"/>
        </w:rPr>
        <w:t>该项目聚焦学术写作与科研能力的核心训练，系统提升学生的科研素养、文献检索与分析能力、学术写作规范意识，以及研究陈述与学术表达能力。课程帮助学生初步建立从问题思考、资料查找、观点形成到规范表达的学术能力框架。</w:t>
      </w:r>
    </w:p>
    <w:p w14:paraId="3FF22FA1">
      <w:pPr>
        <w:numPr>
          <w:ilvl w:val="0"/>
          <w:numId w:val="0"/>
        </w:numPr>
        <w:spacing w:line="360" w:lineRule="auto"/>
        <w:rPr>
          <w:rFonts w:hint="eastAsia" w:ascii="Times New Roman" w:hAnsi="Times New Roman" w:eastAsia="仿宋"/>
          <w:b w:val="0"/>
          <w:color w:val="000000"/>
          <w:sz w:val="24"/>
        </w:rPr>
      </w:pPr>
      <w:r>
        <w:rPr>
          <w:rFonts w:hint="eastAsia" w:ascii="Times New Roman" w:hAnsi="Times New Roman" w:eastAsia="仿宋"/>
          <w:b w:val="0"/>
          <w:color w:val="000000"/>
          <w:sz w:val="24"/>
        </w:rPr>
        <w:t>在通用科研训练基础上，</w:t>
      </w:r>
      <w:r>
        <w:rPr>
          <w:rFonts w:hint="eastAsia" w:ascii="Times New Roman" w:hAnsi="Times New Roman" w:eastAsia="仿宋"/>
          <w:b/>
          <w:bCs/>
          <w:color w:val="000000"/>
          <w:sz w:val="24"/>
          <w:u w:val="single"/>
        </w:rPr>
        <w:t>项目设置人工智能/教育主题专业方向延展模块</w:t>
      </w:r>
      <w:r>
        <w:rPr>
          <w:rFonts w:hint="eastAsia" w:ascii="Times New Roman" w:hAnsi="Times New Roman" w:eastAsia="仿宋"/>
          <w:b w:val="0"/>
          <w:color w:val="000000"/>
          <w:sz w:val="24"/>
        </w:rPr>
        <w:t>，根据师资与学术资源灵活配置专题讲座与交流活动。</w:t>
      </w:r>
    </w:p>
    <w:p w14:paraId="12AD6A7D">
      <w:pPr>
        <w:numPr>
          <w:ilvl w:val="0"/>
          <w:numId w:val="0"/>
        </w:numPr>
        <w:spacing w:line="360" w:lineRule="auto"/>
        <w:rPr>
          <w:rFonts w:hint="eastAsia" w:ascii="Times New Roman" w:hAnsi="Times New Roman" w:eastAsia="仿宋"/>
          <w:b w:val="0"/>
          <w:color w:val="000000"/>
          <w:sz w:val="24"/>
        </w:rPr>
      </w:pPr>
      <w:r>
        <w:rPr>
          <w:rFonts w:hint="eastAsia" w:ascii="Times New Roman" w:hAnsi="Times New Roman" w:eastAsia="仿宋"/>
          <w:b/>
          <w:bCs/>
          <w:color w:val="000000"/>
          <w:sz w:val="24"/>
        </w:rPr>
        <w:t>人工智能</w:t>
      </w:r>
      <w:r>
        <w:rPr>
          <w:rFonts w:hint="eastAsia" w:ascii="Times New Roman" w:hAnsi="Times New Roman" w:eastAsia="仿宋"/>
          <w:b/>
          <w:bCs/>
          <w:color w:val="000000"/>
          <w:sz w:val="24"/>
          <w:lang w:val="en-US" w:eastAsia="zh-CN"/>
        </w:rPr>
        <w:t>方向</w:t>
      </w:r>
      <w:r>
        <w:rPr>
          <w:rFonts w:hint="eastAsia" w:ascii="Times New Roman" w:hAnsi="Times New Roman" w:eastAsia="仿宋"/>
          <w:b/>
          <w:bCs/>
          <w:color w:val="000000"/>
          <w:sz w:val="24"/>
        </w:rPr>
        <w:t>课程</w:t>
      </w:r>
      <w:r>
        <w:rPr>
          <w:rFonts w:hint="eastAsia" w:ascii="Times New Roman" w:hAnsi="Times New Roman" w:eastAsia="仿宋"/>
          <w:b w:val="0"/>
          <w:color w:val="000000"/>
          <w:sz w:val="24"/>
        </w:rPr>
        <w:t>围绕人工智能、数字技术及相关前沿发展趋势展开，帮助学生了解新兴技术在学习、研究及不同领域中的应用，拓展科技视野与创新思维；</w:t>
      </w:r>
    </w:p>
    <w:p w14:paraId="158564A2">
      <w:pPr>
        <w:numPr>
          <w:ilvl w:val="0"/>
          <w:numId w:val="0"/>
        </w:numPr>
        <w:spacing w:line="360" w:lineRule="auto"/>
        <w:rPr>
          <w:rFonts w:hint="eastAsia" w:ascii="Times New Roman" w:hAnsi="Times New Roman" w:eastAsia="仿宋"/>
          <w:b w:val="0"/>
          <w:color w:val="000000"/>
          <w:sz w:val="24"/>
        </w:rPr>
      </w:pPr>
      <w:r>
        <w:rPr>
          <w:rFonts w:hint="eastAsia" w:ascii="Times New Roman" w:hAnsi="Times New Roman" w:eastAsia="仿宋"/>
          <w:b/>
          <w:bCs/>
          <w:color w:val="000000"/>
          <w:sz w:val="24"/>
        </w:rPr>
        <w:t>教育方向</w:t>
      </w:r>
      <w:r>
        <w:rPr>
          <w:rFonts w:hint="eastAsia" w:ascii="Times New Roman" w:hAnsi="Times New Roman" w:eastAsia="仿宋"/>
          <w:b/>
          <w:bCs/>
          <w:color w:val="000000"/>
          <w:sz w:val="24"/>
          <w:lang w:val="en-US" w:eastAsia="zh-CN"/>
        </w:rPr>
        <w:t>课程</w:t>
      </w:r>
      <w:r>
        <w:rPr>
          <w:rFonts w:hint="eastAsia" w:ascii="Times New Roman" w:hAnsi="Times New Roman" w:eastAsia="仿宋"/>
          <w:b w:val="0"/>
          <w:color w:val="000000"/>
          <w:sz w:val="24"/>
        </w:rPr>
        <w:t>围绕教育创新、未来学习及国际教育发展等主题展开，引导学生了解教育领域的新趋势与实践，提升跨文化理解与综合思考能力。</w:t>
      </w:r>
    </w:p>
    <w:p w14:paraId="5716E3F8">
      <w:pPr>
        <w:numPr>
          <w:ilvl w:val="0"/>
          <w:numId w:val="0"/>
        </w:numPr>
        <w:spacing w:line="360" w:lineRule="auto"/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</w:pPr>
      <w:r>
        <w:rPr>
          <w:rFonts w:hint="default" w:ascii="仿宋" w:hAnsi="仿宋" w:eastAsia="仿宋" w:cs="仿宋"/>
          <w:kern w:val="2"/>
          <w:sz w:val="24"/>
          <w:szCs w:val="32"/>
          <w:highlight w:val="yellow"/>
          <w:lang w:val="en-US" w:eastAsia="zh-CN" w:bidi="ar-SA"/>
        </w:rPr>
        <w:t>如合作院校有定制化专业课程需求，延展模块可在可执行条件范围内进行调整。相关专业方向仅作为参考示例，具体课程设置将以双方协商及当期教学资源为准。</w:t>
      </w:r>
    </w:p>
    <w:p w14:paraId="1D33DA44">
      <w:pPr>
        <w:spacing w:after="0" w:line="360" w:lineRule="auto"/>
        <w:jc w:val="both"/>
        <w:rPr>
          <w:rFonts w:hint="eastAsia" w:ascii="仿宋" w:hAnsi="仿宋" w:eastAsia="仿宋" w:cs="仿宋"/>
          <w:b w:val="0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b w:val="0"/>
          <w:color w:val="000000"/>
          <w:sz w:val="24"/>
          <w:szCs w:val="24"/>
        </w:rPr>
        <w:t>* 以上为参考教学安排，课程或活动时长每天约2小时，最终课表</w:t>
      </w:r>
      <w:r>
        <w:rPr>
          <w:rFonts w:hint="eastAsia" w:ascii="仿宋" w:hAnsi="仿宋" w:eastAsia="仿宋" w:cs="仿宋"/>
          <w:b w:val="0"/>
          <w:color w:val="000000"/>
          <w:sz w:val="24"/>
          <w:szCs w:val="24"/>
          <w:lang w:val="en-US" w:eastAsia="zh-CN"/>
        </w:rPr>
        <w:t>预计</w:t>
      </w:r>
      <w:r>
        <w:rPr>
          <w:rFonts w:hint="eastAsia" w:ascii="仿宋" w:hAnsi="仿宋" w:eastAsia="仿宋" w:cs="仿宋"/>
          <w:b w:val="0"/>
          <w:color w:val="000000"/>
          <w:sz w:val="24"/>
          <w:szCs w:val="24"/>
        </w:rPr>
        <w:t>会在项目开始前</w:t>
      </w:r>
      <w:r>
        <w:rPr>
          <w:rFonts w:hint="eastAsia" w:ascii="仿宋" w:hAnsi="仿宋" w:eastAsia="仿宋" w:cs="仿宋"/>
          <w:b w:val="0"/>
          <w:color w:val="000000"/>
          <w:sz w:val="24"/>
          <w:szCs w:val="24"/>
          <w:lang w:val="en-US" w:eastAsia="zh-CN"/>
        </w:rPr>
        <w:t>1-</w:t>
      </w:r>
      <w:r>
        <w:rPr>
          <w:rFonts w:hint="eastAsia" w:ascii="仿宋" w:hAnsi="仿宋" w:eastAsia="仿宋" w:cs="仿宋"/>
          <w:b w:val="0"/>
          <w:color w:val="000000"/>
          <w:sz w:val="24"/>
          <w:szCs w:val="24"/>
        </w:rPr>
        <w:t>2周发出，以实际为准。</w:t>
      </w:r>
    </w:p>
    <w:p w14:paraId="0810E9A8">
      <w:pPr>
        <w:pStyle w:val="2"/>
        <w:ind w:left="0" w:leftChars="0" w:firstLine="0" w:firstLineChars="0"/>
        <w:rPr>
          <w:rFonts w:hint="default"/>
          <w:lang w:val="en-US" w:eastAsia="zh-CN"/>
        </w:rPr>
      </w:pPr>
    </w:p>
    <w:p w14:paraId="1ECF76B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kern w:val="2"/>
          <w:sz w:val="24"/>
          <w:szCs w:val="24"/>
          <w:lang w:val="en-US" w:eastAsia="zh-CN" w:bidi="ar-SA"/>
        </w:rPr>
        <w:t>4.</w:t>
      </w:r>
      <w:r>
        <w:rPr>
          <w:rFonts w:hint="eastAsia" w:ascii="仿宋" w:hAnsi="仿宋" w:eastAsia="仿宋" w:cs="仿宋"/>
          <w:b/>
          <w:bCs/>
          <w:sz w:val="24"/>
          <w:szCs w:val="24"/>
          <w:highlight w:val="none"/>
          <w:lang w:val="en-US" w:eastAsia="zh-CN"/>
        </w:rPr>
        <w:t>住宿安排：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拟安排入住当地学生公寓或公寓式酒店，地理位置方便，环境干净整洁。如果学生交费时住宿已满员，则调整到其他酒店或公寓，设施可能不同。</w:t>
      </w:r>
    </w:p>
    <w:p w14:paraId="11A1C856">
      <w:pPr>
        <w:spacing w:after="0" w:line="360" w:lineRule="auto"/>
        <w:rPr>
          <w:rFonts w:ascii="Times New Roman" w:hAnsi="Times New Roman" w:eastAsia="仿宋"/>
          <w:b w:val="0"/>
          <w:color w:val="000000"/>
          <w:sz w:val="24"/>
        </w:rPr>
      </w:pPr>
    </w:p>
    <w:p w14:paraId="51B2CF2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kern w:val="2"/>
          <w:sz w:val="24"/>
          <w:szCs w:val="24"/>
          <w:lang w:val="en-US" w:eastAsia="zh-CN" w:bidi="ar-SA"/>
        </w:rPr>
        <w:t>5.项目成果：</w:t>
      </w:r>
    </w:p>
    <w:p w14:paraId="4BE04C6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kern w:val="2"/>
          <w:sz w:val="24"/>
          <w:szCs w:val="24"/>
          <w:lang w:val="en-US" w:eastAsia="zh-CN" w:bidi="ar-SA"/>
        </w:rPr>
        <w:t>本项目旨在帮助学生达成以下学习成果：</w:t>
      </w:r>
    </w:p>
    <w:p w14:paraId="11220150">
      <w:pPr>
        <w:spacing w:after="0" w:line="360" w:lineRule="auto"/>
        <w:ind w:left="420" w:hanging="210"/>
        <w:jc w:val="both"/>
      </w:pPr>
      <w:r>
        <w:rPr>
          <w:rFonts w:ascii="Times New Roman" w:hAnsi="Times New Roman" w:eastAsia="仿宋"/>
          <w:sz w:val="24"/>
        </w:rPr>
        <w:t xml:space="preserve">• </w:t>
      </w:r>
      <w:r>
        <w:rPr>
          <w:rFonts w:ascii="Times New Roman" w:hAnsi="Times New Roman" w:eastAsia="仿宋"/>
          <w:b w:val="0"/>
          <w:color w:val="000000"/>
          <w:sz w:val="24"/>
        </w:rPr>
        <w:t>理解澳大利亚高校的学术期望、课堂与科研文化，对英文授课环境中的学习方式与学术规范形成基本认知；</w:t>
      </w:r>
    </w:p>
    <w:p w14:paraId="392F1F85">
      <w:pPr>
        <w:spacing w:after="0" w:line="360" w:lineRule="auto"/>
        <w:ind w:left="420" w:hanging="210"/>
        <w:jc w:val="both"/>
      </w:pPr>
      <w:r>
        <w:rPr>
          <w:rFonts w:ascii="Times New Roman" w:hAnsi="Times New Roman" w:eastAsia="仿宋"/>
          <w:sz w:val="24"/>
        </w:rPr>
        <w:t xml:space="preserve">• </w:t>
      </w:r>
      <w:r>
        <w:rPr>
          <w:rFonts w:ascii="Times New Roman" w:hAnsi="Times New Roman" w:eastAsia="仿宋"/>
          <w:b w:val="0"/>
          <w:color w:val="000000"/>
          <w:sz w:val="24"/>
        </w:rPr>
        <w:t>在指导下明确研究目标，形成可行的学术问题，并理解问题设计与研究方法选择之间的逻辑关系；</w:t>
      </w:r>
    </w:p>
    <w:p w14:paraId="3297E133">
      <w:pPr>
        <w:spacing w:after="0" w:line="360" w:lineRule="auto"/>
        <w:ind w:left="420" w:hanging="210"/>
        <w:jc w:val="both"/>
      </w:pPr>
      <w:r>
        <w:rPr>
          <w:rFonts w:ascii="Times New Roman" w:hAnsi="Times New Roman" w:eastAsia="仿宋"/>
          <w:sz w:val="24"/>
        </w:rPr>
        <w:t xml:space="preserve">• </w:t>
      </w:r>
      <w:r>
        <w:rPr>
          <w:rFonts w:ascii="Times New Roman" w:hAnsi="Times New Roman" w:eastAsia="仿宋"/>
          <w:b w:val="0"/>
          <w:color w:val="000000"/>
          <w:sz w:val="24"/>
        </w:rPr>
        <w:t>运用科学策略检索学术文献，评估文献价值，在遵守学术诚信的前提下，对多篇文献进行概括、整合与综合分析；</w:t>
      </w:r>
    </w:p>
    <w:p w14:paraId="45130FAA">
      <w:pPr>
        <w:spacing w:after="0" w:line="360" w:lineRule="auto"/>
        <w:ind w:left="420" w:hanging="210"/>
        <w:jc w:val="both"/>
      </w:pPr>
      <w:r>
        <w:rPr>
          <w:rFonts w:ascii="Times New Roman" w:hAnsi="Times New Roman" w:eastAsia="仿宋"/>
          <w:sz w:val="24"/>
        </w:rPr>
        <w:t xml:space="preserve">• </w:t>
      </w:r>
      <w:r>
        <w:rPr>
          <w:rFonts w:ascii="Times New Roman" w:hAnsi="Times New Roman" w:eastAsia="仿宋"/>
          <w:b w:val="0"/>
          <w:color w:val="000000"/>
          <w:sz w:val="24"/>
        </w:rPr>
        <w:t>能够按照学术规范撰写研究成果，以清晰、逻辑严谨的方式进行学术写作，并在课堂或研讨中自信地进行英语口头表达与汇报；</w:t>
      </w:r>
    </w:p>
    <w:p w14:paraId="55A19DB8">
      <w:pPr>
        <w:spacing w:after="0" w:line="360" w:lineRule="auto"/>
        <w:ind w:left="420" w:hanging="210"/>
        <w:jc w:val="both"/>
        <w:rPr>
          <w:rFonts w:ascii="Times New Roman" w:hAnsi="Times New Roman" w:eastAsia="仿宋"/>
          <w:b w:val="0"/>
          <w:color w:val="000000"/>
          <w:sz w:val="24"/>
        </w:rPr>
      </w:pPr>
      <w:r>
        <w:rPr>
          <w:rFonts w:ascii="Times New Roman" w:hAnsi="Times New Roman" w:eastAsia="仿宋"/>
          <w:sz w:val="24"/>
        </w:rPr>
        <w:t xml:space="preserve">• </w:t>
      </w:r>
      <w:r>
        <w:rPr>
          <w:rFonts w:ascii="Times New Roman" w:hAnsi="Times New Roman" w:eastAsia="仿宋"/>
          <w:b w:val="0"/>
          <w:color w:val="000000"/>
          <w:sz w:val="24"/>
        </w:rPr>
        <w:t>根据自身学术兴趣与发展规划，学生可参与相关专业方向的延展课程模块，在具体学科语境中理解研究问题、方法与核心理论，为未来进一步的学术研究或专业学习奠定有针对性的基础。</w:t>
      </w:r>
    </w:p>
    <w:p w14:paraId="32DA9217">
      <w:pPr>
        <w:spacing w:after="0" w:line="360" w:lineRule="auto"/>
        <w:ind w:left="420" w:hanging="210"/>
        <w:rPr>
          <w:rFonts w:ascii="Times New Roman" w:hAnsi="Times New Roman" w:eastAsia="仿宋"/>
          <w:b w:val="0"/>
          <w:color w:val="000000"/>
          <w:sz w:val="24"/>
        </w:rPr>
      </w:pPr>
    </w:p>
    <w:p w14:paraId="22D27C99">
      <w:pPr>
        <w:spacing w:after="240" w:line="360" w:lineRule="auto"/>
      </w:pPr>
      <w:r>
        <w:rPr>
          <w:rFonts w:hint="eastAsia" w:ascii="Times New Roman" w:hAnsi="Times New Roman" w:eastAsia="仿宋"/>
          <w:b/>
          <w:color w:val="000000"/>
          <w:sz w:val="24"/>
          <w:lang w:val="en-US" w:eastAsia="zh-CN"/>
        </w:rPr>
        <w:t>6</w:t>
      </w:r>
      <w:r>
        <w:rPr>
          <w:rFonts w:ascii="Times New Roman" w:hAnsi="Times New Roman" w:eastAsia="仿宋"/>
          <w:b/>
          <w:color w:val="000000"/>
          <w:sz w:val="24"/>
        </w:rPr>
        <w:t>. 项目收获：</w:t>
      </w:r>
      <w:r>
        <w:rPr>
          <w:rFonts w:ascii="Times New Roman" w:hAnsi="Times New Roman" w:eastAsia="仿宋"/>
          <w:b w:val="0"/>
          <w:color w:val="000000"/>
          <w:sz w:val="24"/>
        </w:rPr>
        <w:t>顺利完成课程并达到相关学习要求后，学生将获得墨尔本大学项目结业证书，该证书是国际学术经历与科研素养的重要证明，可作为留学申请、求职就业的有力背书。</w:t>
      </w:r>
    </w:p>
    <w:p w14:paraId="7C9A320F">
      <w:pPr>
        <w:spacing w:before="120" w:after="80" w:line="360" w:lineRule="auto"/>
      </w:pPr>
      <w:r>
        <w:rPr>
          <w:rFonts w:ascii="Times New Roman" w:hAnsi="Times New Roman" w:eastAsia="仿宋"/>
          <w:b/>
          <w:color w:val="000000"/>
          <w:sz w:val="28"/>
        </w:rPr>
        <w:t>四、费用及资助说明</w:t>
      </w:r>
    </w:p>
    <w:p w14:paraId="655A4CAF">
      <w:pPr>
        <w:spacing w:after="0" w:line="360" w:lineRule="auto"/>
        <w:ind w:left="420" w:hanging="210"/>
        <w:rPr>
          <w:rFonts w:ascii="Times New Roman" w:hAnsi="Times New Roman" w:eastAsia="仿宋"/>
          <w:b/>
          <w:color w:val="000000"/>
          <w:sz w:val="24"/>
        </w:rPr>
      </w:pPr>
      <w:r>
        <w:rPr>
          <w:rFonts w:ascii="Times New Roman" w:hAnsi="Times New Roman" w:eastAsia="仿宋"/>
          <w:b/>
          <w:color w:val="000000"/>
          <w:sz w:val="24"/>
        </w:rPr>
        <w:t>项目费用：</w:t>
      </w:r>
    </w:p>
    <w:p w14:paraId="06D63658">
      <w:pPr>
        <w:spacing w:after="240" w:line="360" w:lineRule="auto"/>
        <w:rPr>
          <w:rFonts w:ascii="Times New Roman" w:hAnsi="Times New Roman" w:eastAsia="仿宋"/>
          <w:b w:val="0"/>
          <w:color w:val="000000"/>
          <w:sz w:val="24"/>
        </w:rPr>
      </w:pPr>
      <w:r>
        <w:rPr>
          <w:rFonts w:hint="eastAsia" w:ascii="Times New Roman" w:hAnsi="Times New Roman" w:eastAsia="仿宋"/>
          <w:b w:val="0"/>
          <w:color w:val="000000"/>
          <w:sz w:val="24"/>
        </w:rPr>
        <w:t>3870澳元</w:t>
      </w:r>
      <w:r>
        <w:rPr>
          <w:rFonts w:hint="eastAsia" w:ascii="Times New Roman" w:hAnsi="Times New Roman" w:eastAsia="仿宋"/>
          <w:b w:val="0"/>
          <w:color w:val="000000"/>
          <w:sz w:val="24"/>
          <w:lang w:eastAsia="zh-CN"/>
        </w:rPr>
        <w:t>，</w:t>
      </w:r>
      <w:r>
        <w:rPr>
          <w:rFonts w:hint="eastAsia" w:ascii="Times New Roman" w:hAnsi="Times New Roman" w:eastAsia="仿宋"/>
          <w:b w:val="0"/>
          <w:color w:val="000000"/>
          <w:sz w:val="24"/>
        </w:rPr>
        <w:t>约1.89万元人民币</w:t>
      </w:r>
      <w:r>
        <w:rPr>
          <w:rFonts w:ascii="Times New Roman" w:hAnsi="Times New Roman" w:eastAsia="仿宋"/>
          <w:b w:val="0"/>
          <w:color w:val="000000"/>
          <w:sz w:val="24"/>
        </w:rPr>
        <w:t>（</w:t>
      </w:r>
      <w:r>
        <w:rPr>
          <w:rFonts w:hint="eastAsia" w:ascii="Times New Roman" w:hAnsi="Times New Roman" w:eastAsia="仿宋"/>
          <w:b w:val="0"/>
          <w:color w:val="000000"/>
          <w:sz w:val="24"/>
        </w:rPr>
        <w:t>人民币金额根据汇率浮动</w:t>
      </w:r>
      <w:r>
        <w:rPr>
          <w:rFonts w:ascii="Times New Roman" w:hAnsi="Times New Roman" w:eastAsia="仿宋"/>
          <w:b w:val="0"/>
          <w:color w:val="000000"/>
          <w:sz w:val="24"/>
        </w:rPr>
        <w:t>）</w:t>
      </w:r>
    </w:p>
    <w:p w14:paraId="5F23A54D">
      <w:pPr>
        <w:spacing w:after="240" w:line="360" w:lineRule="auto"/>
        <w:rPr>
          <w:rFonts w:hint="eastAsia" w:ascii="Times New Roman" w:hAnsi="Times New Roman" w:eastAsia="仿宋"/>
          <w:b w:val="0"/>
          <w:color w:val="000000"/>
          <w:sz w:val="24"/>
        </w:rPr>
      </w:pPr>
      <w:r>
        <w:rPr>
          <w:rFonts w:hint="eastAsia" w:ascii="Times New Roman" w:hAnsi="Times New Roman" w:eastAsia="仿宋"/>
          <w:b/>
          <w:bCs/>
          <w:color w:val="000000"/>
          <w:sz w:val="24"/>
          <w:lang w:val="en-US" w:eastAsia="zh-CN"/>
        </w:rPr>
        <w:t>费用</w:t>
      </w:r>
      <w:r>
        <w:rPr>
          <w:rFonts w:hint="eastAsia" w:ascii="Times New Roman" w:hAnsi="Times New Roman" w:eastAsia="仿宋"/>
          <w:b/>
          <w:bCs/>
          <w:color w:val="000000"/>
          <w:sz w:val="24"/>
        </w:rPr>
        <w:t>包含</w:t>
      </w:r>
      <w:r>
        <w:rPr>
          <w:rFonts w:hint="eastAsia" w:ascii="Times New Roman" w:hAnsi="Times New Roman" w:eastAsia="仿宋"/>
          <w:b w:val="0"/>
          <w:color w:val="000000"/>
          <w:sz w:val="24"/>
        </w:rPr>
        <w:t>学费、活动课费用、项目管理服务费、住宿及统一接送机费用</w:t>
      </w:r>
    </w:p>
    <w:p w14:paraId="44BB70ED">
      <w:pPr>
        <w:spacing w:after="240" w:line="360" w:lineRule="auto"/>
      </w:pPr>
      <w:r>
        <w:rPr>
          <w:rFonts w:hint="eastAsia" w:ascii="Times New Roman" w:hAnsi="Times New Roman" w:eastAsia="仿宋"/>
          <w:b/>
          <w:bCs/>
          <w:color w:val="000000"/>
          <w:sz w:val="24"/>
        </w:rPr>
        <w:t>不含</w:t>
      </w:r>
      <w:r>
        <w:rPr>
          <w:rFonts w:hint="eastAsia" w:ascii="Times New Roman" w:hAnsi="Times New Roman" w:eastAsia="仿宋"/>
          <w:b w:val="0"/>
          <w:color w:val="000000"/>
          <w:sz w:val="24"/>
        </w:rPr>
        <w:t>国际往返机票、签证及第三方专业机构代办费、境外保险费、餐费和个人消费</w:t>
      </w:r>
    </w:p>
    <w:p w14:paraId="11E598F4">
      <w:pPr>
        <w:spacing w:after="160" w:line="360" w:lineRule="auto"/>
        <w:jc w:val="both"/>
        <w:rPr>
          <w:rFonts w:ascii="Times New Roman" w:hAnsi="Times New Roman" w:eastAsia="仿宋"/>
          <w:b w:val="0"/>
          <w:color w:val="000000"/>
          <w:sz w:val="24"/>
          <w:highlight w:val="yellow"/>
        </w:rPr>
      </w:pPr>
      <w:r>
        <w:rPr>
          <w:rFonts w:ascii="Times New Roman" w:hAnsi="Times New Roman" w:eastAsia="仿宋"/>
          <w:b w:val="0"/>
          <w:color w:val="000000"/>
          <w:sz w:val="24"/>
          <w:highlight w:val="yellow"/>
        </w:rPr>
        <w:t>学校资助：我校将对项目学生提供部分经费资助，</w:t>
      </w:r>
      <w:r>
        <w:rPr>
          <w:rFonts w:hint="eastAsia" w:ascii="Times New Roman" w:hAnsi="Times New Roman" w:eastAsia="仿宋"/>
          <w:b w:val="0"/>
          <w:color w:val="000000"/>
          <w:sz w:val="24"/>
          <w:highlight w:val="yellow"/>
          <w:lang w:val="en-US" w:eastAsia="zh-CN"/>
        </w:rPr>
        <w:t>6000</w:t>
      </w:r>
      <w:r>
        <w:rPr>
          <w:rFonts w:ascii="Times New Roman" w:hAnsi="Times New Roman" w:eastAsia="仿宋"/>
          <w:b w:val="0"/>
          <w:color w:val="000000"/>
          <w:sz w:val="24"/>
          <w:highlight w:val="yellow"/>
        </w:rPr>
        <w:t>元/人，具体可查看相关资助附件。（请合作院校根据实际情况修改此部分内容）</w:t>
      </w:r>
    </w:p>
    <w:p w14:paraId="6FFDB608">
      <w:pPr>
        <w:spacing w:after="0" w:line="360" w:lineRule="auto"/>
        <w:ind w:left="420" w:hanging="210"/>
      </w:pPr>
      <w:r>
        <w:rPr>
          <w:rFonts w:hint="eastAsia" w:ascii="Times New Roman" w:hAnsi="Times New Roman" w:eastAsia="仿宋"/>
          <w:b/>
          <w:color w:val="000000"/>
          <w:sz w:val="24"/>
          <w:lang w:val="en-US" w:eastAsia="zh-CN"/>
        </w:rPr>
        <w:t>其他费用参考：</w:t>
      </w:r>
    </w:p>
    <w:tbl>
      <w:tblPr>
        <w:tblStyle w:val="3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99"/>
        <w:gridCol w:w="3139"/>
        <w:gridCol w:w="2769"/>
      </w:tblGrid>
      <w:tr w14:paraId="26B4B3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399" w:type="dxa"/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319C250">
            <w:pPr>
              <w:spacing w:before="0" w:after="0" w:line="276" w:lineRule="auto"/>
              <w:jc w:val="center"/>
              <w:rPr>
                <w:rFonts w:ascii="Times New Roman" w:hAnsi="Times New Roman" w:eastAsia="仿宋"/>
                <w:b w:val="0"/>
                <w:bCs/>
                <w:sz w:val="21"/>
                <w:szCs w:val="21"/>
              </w:rPr>
            </w:pPr>
            <w:r>
              <w:rPr>
                <w:rFonts w:ascii="Times New Roman" w:hAnsi="Times New Roman" w:eastAsia="仿宋"/>
                <w:b w:val="0"/>
                <w:bCs/>
                <w:sz w:val="21"/>
                <w:szCs w:val="21"/>
              </w:rPr>
              <w:t>类别</w:t>
            </w:r>
          </w:p>
        </w:tc>
        <w:tc>
          <w:tcPr>
            <w:tcW w:w="313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F242C85">
            <w:pPr>
              <w:spacing w:before="0" w:after="0" w:line="276" w:lineRule="auto"/>
              <w:jc w:val="center"/>
              <w:rPr>
                <w:rFonts w:ascii="Times New Roman" w:hAnsi="Times New Roman" w:eastAsia="仿宋"/>
                <w:b w:val="0"/>
                <w:bCs/>
                <w:sz w:val="21"/>
                <w:szCs w:val="21"/>
              </w:rPr>
            </w:pPr>
            <w:r>
              <w:rPr>
                <w:rFonts w:ascii="Times New Roman" w:hAnsi="Times New Roman" w:eastAsia="仿宋"/>
                <w:b w:val="0"/>
                <w:bCs/>
                <w:sz w:val="21"/>
                <w:szCs w:val="21"/>
              </w:rPr>
              <w:t>费用 / 内容</w:t>
            </w:r>
          </w:p>
        </w:tc>
        <w:tc>
          <w:tcPr>
            <w:tcW w:w="276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C17C7BC">
            <w:pPr>
              <w:spacing w:before="0" w:after="0" w:line="276" w:lineRule="auto"/>
              <w:jc w:val="center"/>
              <w:rPr>
                <w:rFonts w:ascii="Times New Roman" w:hAnsi="Times New Roman" w:eastAsia="仿宋"/>
                <w:b w:val="0"/>
                <w:bCs/>
                <w:sz w:val="21"/>
                <w:szCs w:val="21"/>
              </w:rPr>
            </w:pPr>
            <w:r>
              <w:rPr>
                <w:rFonts w:ascii="Times New Roman" w:hAnsi="Times New Roman" w:eastAsia="仿宋"/>
                <w:b w:val="0"/>
                <w:bCs/>
                <w:sz w:val="21"/>
                <w:szCs w:val="21"/>
              </w:rPr>
              <w:t>说明</w:t>
            </w:r>
          </w:p>
        </w:tc>
      </w:tr>
      <w:tr w14:paraId="4AB86A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399" w:type="dxa"/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012546B">
            <w:pPr>
              <w:spacing w:before="0" w:after="0" w:line="276" w:lineRule="auto"/>
              <w:jc w:val="center"/>
              <w:rPr>
                <w:b w:val="0"/>
                <w:bCs/>
                <w:sz w:val="21"/>
                <w:szCs w:val="21"/>
              </w:rPr>
            </w:pPr>
            <w:r>
              <w:rPr>
                <w:rFonts w:ascii="Times New Roman" w:hAnsi="Times New Roman" w:eastAsia="仿宋"/>
                <w:b w:val="0"/>
                <w:bCs/>
                <w:sz w:val="21"/>
                <w:szCs w:val="21"/>
              </w:rPr>
              <w:t>预估自费：国际机票</w:t>
            </w:r>
          </w:p>
        </w:tc>
        <w:tc>
          <w:tcPr>
            <w:tcW w:w="313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9A82777">
            <w:pPr>
              <w:spacing w:before="0" w:after="0" w:line="276" w:lineRule="auto"/>
              <w:jc w:val="center"/>
              <w:rPr>
                <w:b w:val="0"/>
                <w:bCs/>
                <w:sz w:val="21"/>
                <w:szCs w:val="21"/>
              </w:rPr>
            </w:pPr>
            <w:r>
              <w:rPr>
                <w:rFonts w:ascii="Times New Roman" w:hAnsi="Times New Roman" w:eastAsia="仿宋"/>
                <w:b w:val="0"/>
                <w:bCs/>
                <w:sz w:val="21"/>
                <w:szCs w:val="21"/>
              </w:rPr>
              <w:t>约</w:t>
            </w:r>
            <w:r>
              <w:rPr>
                <w:rFonts w:hint="eastAsia" w:ascii="Times New Roman" w:hAnsi="Times New Roman" w:eastAsia="仿宋"/>
                <w:b w:val="0"/>
                <w:bCs/>
                <w:sz w:val="21"/>
                <w:szCs w:val="21"/>
                <w:lang w:val="en-US" w:eastAsia="zh-CN"/>
              </w:rPr>
              <w:t>8</w:t>
            </w:r>
            <w:r>
              <w:rPr>
                <w:rFonts w:ascii="Times New Roman" w:hAnsi="Times New Roman" w:eastAsia="仿宋"/>
                <w:b w:val="0"/>
                <w:bCs/>
                <w:sz w:val="21"/>
                <w:szCs w:val="21"/>
              </w:rPr>
              <w:t>000元人民币</w:t>
            </w:r>
          </w:p>
        </w:tc>
        <w:tc>
          <w:tcPr>
            <w:tcW w:w="276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F9E35CA">
            <w:pPr>
              <w:spacing w:before="0" w:after="0" w:line="276" w:lineRule="auto"/>
              <w:jc w:val="center"/>
              <w:rPr>
                <w:b w:val="0"/>
                <w:bCs/>
                <w:sz w:val="21"/>
                <w:szCs w:val="21"/>
              </w:rPr>
            </w:pPr>
            <w:r>
              <w:rPr>
                <w:rFonts w:ascii="Times New Roman" w:hAnsi="Times New Roman" w:eastAsia="仿宋"/>
                <w:b w:val="0"/>
                <w:bCs/>
                <w:sz w:val="21"/>
                <w:szCs w:val="21"/>
              </w:rPr>
              <w:t>往期参考，具体以航司官网为准</w:t>
            </w:r>
          </w:p>
        </w:tc>
      </w:tr>
      <w:tr w14:paraId="37A987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399" w:type="dxa"/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AC44455">
            <w:pPr>
              <w:spacing w:before="0" w:after="0" w:line="276" w:lineRule="auto"/>
              <w:jc w:val="center"/>
              <w:rPr>
                <w:b w:val="0"/>
                <w:bCs/>
                <w:sz w:val="21"/>
                <w:szCs w:val="21"/>
              </w:rPr>
            </w:pPr>
            <w:r>
              <w:rPr>
                <w:rFonts w:ascii="Times New Roman" w:hAnsi="Times New Roman" w:eastAsia="仿宋"/>
                <w:b w:val="0"/>
                <w:bCs/>
                <w:sz w:val="21"/>
                <w:szCs w:val="21"/>
              </w:rPr>
              <w:t>预估自费：签证及代办</w:t>
            </w:r>
          </w:p>
        </w:tc>
        <w:tc>
          <w:tcPr>
            <w:tcW w:w="313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D764736">
            <w:pPr>
              <w:spacing w:before="0" w:after="0" w:line="276" w:lineRule="auto"/>
              <w:jc w:val="center"/>
              <w:rPr>
                <w:b w:val="0"/>
                <w:bCs/>
                <w:sz w:val="21"/>
                <w:szCs w:val="21"/>
              </w:rPr>
            </w:pPr>
            <w:r>
              <w:rPr>
                <w:rFonts w:ascii="Times New Roman" w:hAnsi="Times New Roman" w:eastAsia="仿宋"/>
                <w:b w:val="0"/>
                <w:bCs/>
                <w:sz w:val="21"/>
                <w:szCs w:val="21"/>
              </w:rPr>
              <w:t>约</w:t>
            </w:r>
            <w:r>
              <w:rPr>
                <w:rFonts w:hint="eastAsia" w:ascii="Times New Roman" w:hAnsi="Times New Roman" w:eastAsia="仿宋"/>
                <w:b w:val="0"/>
                <w:bCs/>
                <w:sz w:val="21"/>
                <w:szCs w:val="21"/>
                <w:lang w:val="en-US" w:eastAsia="zh-CN"/>
              </w:rPr>
              <w:t>1500</w:t>
            </w:r>
            <w:r>
              <w:rPr>
                <w:rFonts w:ascii="Times New Roman" w:hAnsi="Times New Roman" w:eastAsia="仿宋"/>
                <w:b w:val="0"/>
                <w:bCs/>
                <w:sz w:val="21"/>
                <w:szCs w:val="21"/>
              </w:rPr>
              <w:t>元人民币</w:t>
            </w:r>
          </w:p>
        </w:tc>
        <w:tc>
          <w:tcPr>
            <w:tcW w:w="276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4CDD1A6">
            <w:pPr>
              <w:spacing w:before="0" w:after="0" w:line="276" w:lineRule="auto"/>
              <w:jc w:val="center"/>
              <w:rPr>
                <w:b w:val="0"/>
                <w:bCs/>
                <w:sz w:val="21"/>
                <w:szCs w:val="21"/>
              </w:rPr>
            </w:pPr>
            <w:r>
              <w:rPr>
                <w:rFonts w:ascii="Times New Roman" w:hAnsi="Times New Roman" w:eastAsia="仿宋"/>
                <w:b w:val="0"/>
                <w:bCs/>
                <w:sz w:val="21"/>
                <w:szCs w:val="21"/>
              </w:rPr>
              <w:t>参考费用</w:t>
            </w:r>
          </w:p>
        </w:tc>
      </w:tr>
      <w:tr w14:paraId="521FE5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399" w:type="dxa"/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E63B747">
            <w:pPr>
              <w:spacing w:before="0" w:after="0" w:line="276" w:lineRule="auto"/>
              <w:jc w:val="center"/>
              <w:rPr>
                <w:b w:val="0"/>
                <w:bCs/>
                <w:sz w:val="21"/>
                <w:szCs w:val="21"/>
              </w:rPr>
            </w:pPr>
            <w:r>
              <w:rPr>
                <w:rFonts w:ascii="Times New Roman" w:hAnsi="Times New Roman" w:eastAsia="仿宋"/>
                <w:b w:val="0"/>
                <w:bCs/>
                <w:sz w:val="21"/>
                <w:szCs w:val="21"/>
              </w:rPr>
              <w:t>预估自费：境外保险</w:t>
            </w:r>
          </w:p>
        </w:tc>
        <w:tc>
          <w:tcPr>
            <w:tcW w:w="313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DA23D3F">
            <w:pPr>
              <w:spacing w:before="0" w:after="0" w:line="276" w:lineRule="auto"/>
              <w:jc w:val="center"/>
              <w:rPr>
                <w:b w:val="0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 w:eastAsia="仿宋"/>
                <w:b w:val="0"/>
                <w:bCs/>
                <w:sz w:val="21"/>
                <w:szCs w:val="21"/>
                <w:lang w:val="en-US" w:eastAsia="zh-CN"/>
              </w:rPr>
              <w:t>470</w:t>
            </w:r>
            <w:r>
              <w:rPr>
                <w:rFonts w:hint="eastAsia" w:ascii="Times New Roman" w:hAnsi="Times New Roman"/>
                <w:b w:val="0"/>
                <w:bCs/>
                <w:sz w:val="21"/>
                <w:szCs w:val="21"/>
                <w:lang w:val="en-US" w:eastAsia="zh-CN"/>
              </w:rPr>
              <w:t>-500</w:t>
            </w:r>
            <w:r>
              <w:rPr>
                <w:rFonts w:ascii="Times New Roman" w:hAnsi="Times New Roman" w:eastAsia="仿宋"/>
                <w:b w:val="0"/>
                <w:bCs/>
                <w:sz w:val="21"/>
                <w:szCs w:val="21"/>
              </w:rPr>
              <w:t>元人民币</w:t>
            </w:r>
          </w:p>
        </w:tc>
        <w:tc>
          <w:tcPr>
            <w:tcW w:w="276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C1AD50E">
            <w:pPr>
              <w:spacing w:before="0" w:after="0" w:line="276" w:lineRule="auto"/>
              <w:jc w:val="center"/>
              <w:rPr>
                <w:b w:val="0"/>
                <w:bCs/>
                <w:sz w:val="21"/>
                <w:szCs w:val="21"/>
              </w:rPr>
            </w:pPr>
            <w:r>
              <w:rPr>
                <w:rFonts w:ascii="Times New Roman" w:hAnsi="Times New Roman" w:eastAsia="仿宋"/>
                <w:b w:val="0"/>
                <w:bCs/>
                <w:sz w:val="21"/>
                <w:szCs w:val="21"/>
              </w:rPr>
              <w:t>参考费用</w:t>
            </w:r>
          </w:p>
        </w:tc>
      </w:tr>
      <w:tr w14:paraId="29CF8E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399" w:type="dxa"/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786BF7E">
            <w:pPr>
              <w:spacing w:before="0" w:after="0" w:line="276" w:lineRule="auto"/>
              <w:jc w:val="center"/>
              <w:rPr>
                <w:b w:val="0"/>
                <w:bCs/>
                <w:sz w:val="21"/>
                <w:szCs w:val="21"/>
              </w:rPr>
            </w:pPr>
            <w:r>
              <w:rPr>
                <w:rFonts w:ascii="Times New Roman" w:hAnsi="Times New Roman" w:eastAsia="仿宋"/>
                <w:b w:val="0"/>
                <w:bCs/>
                <w:sz w:val="21"/>
                <w:szCs w:val="21"/>
              </w:rPr>
              <w:t>预估自费：</w:t>
            </w:r>
            <w:r>
              <w:rPr>
                <w:rFonts w:hint="eastAsia" w:ascii="Times New Roman" w:hAnsi="Times New Roman" w:eastAsia="仿宋"/>
                <w:b w:val="0"/>
                <w:bCs/>
                <w:sz w:val="21"/>
                <w:szCs w:val="21"/>
                <w:lang w:val="en-US" w:eastAsia="zh-CN"/>
              </w:rPr>
              <w:t>澳洲</w:t>
            </w:r>
            <w:r>
              <w:rPr>
                <w:rFonts w:ascii="Times New Roman" w:hAnsi="Times New Roman" w:eastAsia="仿宋"/>
                <w:b w:val="0"/>
                <w:bCs/>
                <w:sz w:val="21"/>
                <w:szCs w:val="21"/>
              </w:rPr>
              <w:t>餐费</w:t>
            </w:r>
          </w:p>
        </w:tc>
        <w:tc>
          <w:tcPr>
            <w:tcW w:w="313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FF21D84">
            <w:pPr>
              <w:spacing w:before="0" w:after="0" w:line="276" w:lineRule="auto"/>
              <w:jc w:val="center"/>
              <w:rPr>
                <w:b w:val="0"/>
                <w:bCs/>
                <w:sz w:val="21"/>
                <w:szCs w:val="21"/>
              </w:rPr>
            </w:pPr>
            <w:r>
              <w:rPr>
                <w:rFonts w:ascii="Times New Roman" w:hAnsi="Times New Roman" w:eastAsia="仿宋"/>
                <w:b w:val="0"/>
                <w:bCs/>
                <w:sz w:val="21"/>
                <w:szCs w:val="21"/>
              </w:rPr>
              <w:t>约</w:t>
            </w:r>
            <w:r>
              <w:rPr>
                <w:rFonts w:hint="eastAsia" w:ascii="Times New Roman" w:hAnsi="Times New Roman" w:eastAsia="仿宋"/>
                <w:b w:val="0"/>
                <w:bCs/>
                <w:sz w:val="21"/>
                <w:szCs w:val="21"/>
                <w:lang w:val="en-US" w:eastAsia="zh-CN"/>
              </w:rPr>
              <w:t>15-20澳元</w:t>
            </w:r>
            <w:r>
              <w:rPr>
                <w:rFonts w:ascii="Times New Roman" w:hAnsi="Times New Roman" w:eastAsia="仿宋"/>
                <w:b w:val="0"/>
                <w:bCs/>
                <w:sz w:val="21"/>
                <w:szCs w:val="21"/>
              </w:rPr>
              <w:t>/餐</w:t>
            </w:r>
          </w:p>
        </w:tc>
        <w:tc>
          <w:tcPr>
            <w:tcW w:w="276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59FBDFA">
            <w:pPr>
              <w:spacing w:before="0" w:after="0" w:line="276" w:lineRule="auto"/>
              <w:jc w:val="center"/>
              <w:rPr>
                <w:b w:val="0"/>
                <w:bCs/>
                <w:sz w:val="21"/>
                <w:szCs w:val="21"/>
              </w:rPr>
            </w:pPr>
            <w:r>
              <w:rPr>
                <w:rFonts w:ascii="Times New Roman" w:hAnsi="Times New Roman" w:eastAsia="仿宋"/>
                <w:b w:val="0"/>
                <w:bCs/>
                <w:sz w:val="21"/>
                <w:szCs w:val="21"/>
              </w:rPr>
              <w:t>以实际消费为准</w:t>
            </w:r>
          </w:p>
        </w:tc>
      </w:tr>
    </w:tbl>
    <w:p w14:paraId="6154E37F">
      <w:pPr>
        <w:spacing w:after="80" w:line="360" w:lineRule="auto"/>
        <w:rPr>
          <w:rFonts w:hint="eastAsia" w:ascii="Times New Roman" w:hAnsi="Times New Roman" w:eastAsia="仿宋"/>
          <w:b w:val="0"/>
          <w:color w:val="000000"/>
          <w:sz w:val="24"/>
          <w:lang w:eastAsia="zh-CN"/>
        </w:rPr>
      </w:pPr>
    </w:p>
    <w:p w14:paraId="321018D2">
      <w:pPr>
        <w:spacing w:before="120" w:after="80" w:line="360" w:lineRule="auto"/>
      </w:pPr>
      <w:r>
        <w:rPr>
          <w:rFonts w:ascii="Times New Roman" w:hAnsi="Times New Roman" w:eastAsia="仿宋"/>
          <w:b/>
          <w:color w:val="000000"/>
          <w:sz w:val="28"/>
        </w:rPr>
        <w:t>五、申请条件</w:t>
      </w:r>
    </w:p>
    <w:p w14:paraId="24DC6959">
      <w:pPr>
        <w:spacing w:after="0" w:line="360" w:lineRule="auto"/>
      </w:pPr>
      <w:r>
        <w:rPr>
          <w:rFonts w:ascii="Times New Roman" w:hAnsi="Times New Roman" w:eastAsia="仿宋"/>
          <w:b w:val="0"/>
          <w:color w:val="000000"/>
          <w:sz w:val="24"/>
        </w:rPr>
        <w:t>1.全日制本科生、研究生，须年满18周岁；</w:t>
      </w:r>
    </w:p>
    <w:p w14:paraId="25C3CAD4">
      <w:pPr>
        <w:spacing w:after="0" w:line="360" w:lineRule="auto"/>
      </w:pPr>
      <w:r>
        <w:rPr>
          <w:rFonts w:hint="eastAsia" w:ascii="Times New Roman" w:hAnsi="Times New Roman" w:eastAsia="仿宋"/>
          <w:b w:val="0"/>
          <w:color w:val="000000"/>
          <w:sz w:val="24"/>
          <w:lang w:val="en-US" w:eastAsia="zh-CN"/>
        </w:rPr>
        <w:t>2</w:t>
      </w:r>
      <w:r>
        <w:rPr>
          <w:rFonts w:hint="eastAsia" w:ascii="Times New Roman" w:hAnsi="Times New Roman" w:eastAsia="仿宋"/>
          <w:b w:val="0"/>
          <w:color w:val="000000"/>
          <w:sz w:val="24"/>
        </w:rPr>
        <w:t>.英语要求：通过项目方中英文线上审核，熟练掌握英语听、说、读、写能力。CET-4成绩</w:t>
      </w:r>
      <w:r>
        <w:rPr>
          <w:rFonts w:hint="eastAsia" w:ascii="Times New Roman" w:hAnsi="Times New Roman" w:eastAsia="仿宋"/>
          <w:b w:val="0"/>
          <w:color w:val="000000"/>
          <w:sz w:val="24"/>
          <w:lang w:val="en-US" w:eastAsia="zh-CN"/>
        </w:rPr>
        <w:t>425</w:t>
      </w:r>
      <w:r>
        <w:rPr>
          <w:rFonts w:hint="eastAsia" w:ascii="Times New Roman" w:hAnsi="Times New Roman" w:eastAsia="仿宋"/>
          <w:b w:val="0"/>
          <w:color w:val="000000"/>
          <w:sz w:val="24"/>
        </w:rPr>
        <w:t>分及以上、雅思成绩</w:t>
      </w:r>
      <w:r>
        <w:rPr>
          <w:rFonts w:hint="eastAsia" w:ascii="Times New Roman" w:hAnsi="Times New Roman" w:eastAsia="仿宋"/>
          <w:b w:val="0"/>
          <w:color w:val="000000"/>
          <w:sz w:val="24"/>
          <w:lang w:val="en-US" w:eastAsia="zh-CN"/>
        </w:rPr>
        <w:t>5.5</w:t>
      </w:r>
      <w:r>
        <w:rPr>
          <w:rFonts w:hint="eastAsia" w:ascii="Times New Roman" w:hAnsi="Times New Roman" w:eastAsia="仿宋"/>
          <w:b w:val="0"/>
          <w:color w:val="000000"/>
          <w:sz w:val="24"/>
        </w:rPr>
        <w:t>分及以上者优先考虑。</w:t>
      </w:r>
    </w:p>
    <w:p w14:paraId="17D4207D">
      <w:pPr>
        <w:spacing w:after="0" w:line="360" w:lineRule="auto"/>
      </w:pPr>
      <w:r>
        <w:rPr>
          <w:rFonts w:ascii="Times New Roman" w:hAnsi="Times New Roman" w:eastAsia="仿宋"/>
          <w:b w:val="0"/>
          <w:color w:val="000000"/>
          <w:sz w:val="24"/>
        </w:rPr>
        <w:t>3.身心健康，无重大疾病或不适宜出国交流的健康状况；</w:t>
      </w:r>
    </w:p>
    <w:p w14:paraId="30CA64C2">
      <w:pPr>
        <w:spacing w:after="240" w:line="360" w:lineRule="auto"/>
        <w:rPr>
          <w:rFonts w:ascii="Times New Roman" w:hAnsi="Times New Roman" w:eastAsia="仿宋"/>
          <w:b w:val="0"/>
          <w:color w:val="000000"/>
          <w:sz w:val="24"/>
        </w:rPr>
      </w:pPr>
      <w:r>
        <w:rPr>
          <w:rFonts w:ascii="Times New Roman" w:hAnsi="Times New Roman" w:eastAsia="仿宋"/>
          <w:b w:val="0"/>
          <w:color w:val="000000"/>
          <w:sz w:val="24"/>
        </w:rPr>
        <w:t>4.遵纪守法，自觉维护国家形象和学校名誉。</w:t>
      </w:r>
    </w:p>
    <w:p w14:paraId="390B9FD6">
      <w:pPr>
        <w:spacing w:before="120" w:after="80" w:line="360" w:lineRule="auto"/>
      </w:pPr>
      <w:r>
        <w:rPr>
          <w:rFonts w:ascii="Times New Roman" w:hAnsi="Times New Roman" w:eastAsia="仿宋"/>
          <w:b/>
          <w:color w:val="000000"/>
          <w:sz w:val="28"/>
        </w:rPr>
        <w:t>六、报名与咨询</w:t>
      </w:r>
    </w:p>
    <w:p w14:paraId="560D8ED6">
      <w:pPr>
        <w:numPr>
          <w:ilvl w:val="0"/>
          <w:numId w:val="0"/>
        </w:numPr>
        <w:spacing w:after="0" w:line="360" w:lineRule="auto"/>
        <w:ind w:leftChars="0"/>
      </w:pPr>
      <w:r>
        <w:rPr>
          <w:rFonts w:hint="eastAsia" w:ascii="Times New Roman" w:hAnsi="Times New Roman" w:eastAsia="仿宋"/>
          <w:b w:val="0"/>
          <w:color w:val="000000"/>
          <w:sz w:val="24"/>
          <w:lang w:val="en-US" w:eastAsia="zh-CN"/>
        </w:rPr>
        <w:t xml:space="preserve">1. </w:t>
      </w:r>
      <w:r>
        <w:rPr>
          <w:rFonts w:ascii="Times New Roman" w:hAnsi="Times New Roman" w:eastAsia="仿宋"/>
          <w:b w:val="0"/>
          <w:color w:val="000000"/>
          <w:sz w:val="24"/>
        </w:rPr>
        <w:t>按学校要求填写校内报名表。</w:t>
      </w:r>
    </w:p>
    <w:p w14:paraId="19344E68">
      <w:pPr>
        <w:spacing w:after="0" w:line="360" w:lineRule="auto"/>
        <w:rPr>
          <w:rFonts w:ascii="Times New Roman" w:hAnsi="Times New Roman" w:eastAsia="仿宋"/>
          <w:b w:val="0"/>
          <w:color w:val="000000"/>
          <w:sz w:val="24"/>
          <w:highlight w:val="yellow"/>
        </w:rPr>
      </w:pPr>
      <w:r>
        <w:rPr>
          <w:rFonts w:ascii="Times New Roman" w:hAnsi="Times New Roman" w:eastAsia="仿宋"/>
          <w:b w:val="0"/>
          <w:color w:val="000000"/>
          <w:sz w:val="24"/>
          <w:highlight w:val="yellow"/>
        </w:rPr>
        <w:t>【请合作院校提供报名方式】，学校统一收集报名或学生添加咨询后获得报名表。</w:t>
      </w:r>
    </w:p>
    <w:p w14:paraId="4EBB557F">
      <w:pPr>
        <w:numPr>
          <w:ilvl w:val="0"/>
          <w:numId w:val="0"/>
        </w:numPr>
        <w:spacing w:after="0" w:line="360" w:lineRule="auto"/>
      </w:pPr>
      <w:r>
        <w:rPr>
          <w:rFonts w:hint="eastAsia" w:ascii="Times New Roman" w:hAnsi="Times New Roman" w:eastAsia="仿宋"/>
          <w:b w:val="0"/>
          <w:color w:val="000000"/>
          <w:sz w:val="24"/>
          <w:lang w:val="en-US" w:eastAsia="zh-CN"/>
        </w:rPr>
        <w:t>2. 打</w:t>
      </w:r>
      <w:r>
        <w:rPr>
          <w:rFonts w:ascii="Times New Roman" w:hAnsi="Times New Roman" w:eastAsia="仿宋"/>
          <w:b w:val="0"/>
          <w:color w:val="000000"/>
          <w:sz w:val="24"/>
        </w:rPr>
        <w:t>开链接：</w:t>
      </w:r>
      <w:r>
        <w:rPr>
          <w:rFonts w:hint="eastAsia" w:ascii="Times New Roman" w:hAnsi="Times New Roman" w:eastAsia="仿宋"/>
          <w:b w:val="0"/>
          <w:color w:val="000000"/>
          <w:sz w:val="24"/>
        </w:rPr>
        <w:fldChar w:fldCharType="begin"/>
      </w:r>
      <w:r>
        <w:rPr>
          <w:rFonts w:hint="eastAsia" w:ascii="Times New Roman" w:hAnsi="Times New Roman" w:eastAsia="仿宋"/>
          <w:b w:val="0"/>
          <w:color w:val="000000"/>
          <w:sz w:val="24"/>
        </w:rPr>
        <w:instrText xml:space="preserve"> HYPERLINK "https://jsj.top/f/WnR3Bk" </w:instrText>
      </w:r>
      <w:r>
        <w:rPr>
          <w:rFonts w:hint="eastAsia" w:ascii="Times New Roman" w:hAnsi="Times New Roman" w:eastAsia="仿宋"/>
          <w:b w:val="0"/>
          <w:color w:val="000000"/>
          <w:sz w:val="24"/>
        </w:rPr>
        <w:fldChar w:fldCharType="separate"/>
      </w:r>
      <w:r>
        <w:rPr>
          <w:rStyle w:val="136"/>
          <w:rFonts w:hint="eastAsia" w:ascii="Times New Roman" w:hAnsi="Times New Roman" w:eastAsia="仿宋"/>
          <w:b w:val="0"/>
          <w:sz w:val="24"/>
        </w:rPr>
        <w:t>https://jsj.top/f/WnR3Bk</w:t>
      </w:r>
      <w:r>
        <w:rPr>
          <w:rFonts w:hint="eastAsia" w:ascii="Times New Roman" w:hAnsi="Times New Roman" w:eastAsia="仿宋"/>
          <w:b w:val="0"/>
          <w:color w:val="000000"/>
          <w:sz w:val="24"/>
        </w:rPr>
        <w:fldChar w:fldCharType="end"/>
      </w:r>
      <w:r>
        <w:rPr>
          <w:rFonts w:ascii="Times New Roman" w:hAnsi="Times New Roman" w:eastAsia="仿宋"/>
          <w:b w:val="0"/>
          <w:color w:val="000000"/>
          <w:sz w:val="24"/>
        </w:rPr>
        <w:t>，填写项目主办方报名表。</w:t>
      </w:r>
    </w:p>
    <w:p w14:paraId="0FB3CEEE">
      <w:pPr>
        <w:numPr>
          <w:ilvl w:val="0"/>
          <w:numId w:val="0"/>
        </w:numPr>
        <w:spacing w:after="0" w:line="360" w:lineRule="auto"/>
        <w:ind w:leftChars="0"/>
      </w:pPr>
      <w:r>
        <w:rPr>
          <w:rFonts w:hint="eastAsia" w:ascii="Times New Roman" w:hAnsi="Times New Roman" w:eastAsia="仿宋"/>
          <w:b w:val="0"/>
          <w:color w:val="000000"/>
          <w:sz w:val="24"/>
          <w:lang w:val="en-US" w:eastAsia="zh-CN"/>
        </w:rPr>
        <w:t>3</w:t>
      </w:r>
      <w:r>
        <w:rPr>
          <w:rFonts w:hint="eastAsia" w:ascii="Times New Roman" w:hAnsi="Times New Roman" w:eastAsia="仿宋"/>
          <w:b w:val="0"/>
          <w:color w:val="000000"/>
          <w:sz w:val="24"/>
        </w:rPr>
        <w:t xml:space="preserve">. </w:t>
      </w:r>
      <w:r>
        <w:rPr>
          <w:rFonts w:ascii="Times New Roman" w:hAnsi="Times New Roman" w:eastAsia="仿宋"/>
          <w:b w:val="0"/>
          <w:color w:val="000000"/>
          <w:sz w:val="24"/>
        </w:rPr>
        <w:t>面试链接：</w:t>
      </w:r>
      <w:r>
        <w:rPr>
          <w:rFonts w:hint="eastAsia" w:ascii="Times New Roman" w:hAnsi="Times New Roman" w:eastAsia="仿宋"/>
          <w:b w:val="0"/>
          <w:color w:val="000000"/>
          <w:sz w:val="24"/>
        </w:rPr>
        <w:fldChar w:fldCharType="begin"/>
      </w:r>
      <w:r>
        <w:rPr>
          <w:rFonts w:hint="eastAsia" w:ascii="Times New Roman" w:hAnsi="Times New Roman" w:eastAsia="仿宋"/>
          <w:b w:val="0"/>
          <w:color w:val="000000"/>
          <w:sz w:val="24"/>
        </w:rPr>
        <w:instrText xml:space="preserve"> HYPERLINK "https://jsj.top/f/OcRrnn" </w:instrText>
      </w:r>
      <w:r>
        <w:rPr>
          <w:rFonts w:hint="eastAsia" w:ascii="Times New Roman" w:hAnsi="Times New Roman" w:eastAsia="仿宋"/>
          <w:b w:val="0"/>
          <w:color w:val="000000"/>
          <w:sz w:val="24"/>
        </w:rPr>
        <w:fldChar w:fldCharType="separate"/>
      </w:r>
      <w:r>
        <w:rPr>
          <w:rStyle w:val="136"/>
          <w:rFonts w:hint="eastAsia" w:ascii="Times New Roman" w:hAnsi="Times New Roman" w:eastAsia="仿宋"/>
          <w:b w:val="0"/>
          <w:sz w:val="24"/>
        </w:rPr>
        <w:t>https://jsj.top/f/OcRrnn</w:t>
      </w:r>
      <w:r>
        <w:rPr>
          <w:rFonts w:hint="eastAsia" w:ascii="Times New Roman" w:hAnsi="Times New Roman" w:eastAsia="仿宋"/>
          <w:b w:val="0"/>
          <w:color w:val="000000"/>
          <w:sz w:val="24"/>
        </w:rPr>
        <w:fldChar w:fldCharType="end"/>
      </w:r>
      <w:r>
        <w:rPr>
          <w:rFonts w:ascii="Times New Roman" w:hAnsi="Times New Roman" w:eastAsia="仿宋"/>
          <w:b w:val="0"/>
          <w:color w:val="000000"/>
          <w:sz w:val="24"/>
        </w:rPr>
        <w:t>，所有报名项目的学生都要预约参加线上面试。</w:t>
      </w:r>
    </w:p>
    <w:p w14:paraId="24DE0B42">
      <w:pPr>
        <w:spacing w:after="0" w:line="360" w:lineRule="auto"/>
        <w:rPr>
          <w:highlight w:val="yellow"/>
        </w:rPr>
      </w:pPr>
      <w:r>
        <w:rPr>
          <w:rFonts w:hint="eastAsia" w:ascii="Times New Roman" w:hAnsi="Times New Roman" w:eastAsia="仿宋"/>
          <w:b w:val="0"/>
          <w:color w:val="000000"/>
          <w:sz w:val="24"/>
          <w:highlight w:val="yellow"/>
          <w:lang w:val="en-US" w:eastAsia="zh-CN"/>
        </w:rPr>
        <w:t>4</w:t>
      </w:r>
      <w:r>
        <w:rPr>
          <w:rFonts w:hint="eastAsia" w:ascii="Times New Roman" w:hAnsi="Times New Roman" w:eastAsia="仿宋"/>
          <w:b w:val="0"/>
          <w:color w:val="000000"/>
          <w:sz w:val="24"/>
          <w:highlight w:val="yellow"/>
        </w:rPr>
        <w:t>. 报名截止时间：2026年10月31日</w:t>
      </w:r>
      <w:r>
        <w:rPr>
          <w:rFonts w:ascii="Times New Roman" w:hAnsi="Times New Roman" w:eastAsia="仿宋"/>
          <w:b w:val="0"/>
          <w:color w:val="000000"/>
          <w:sz w:val="24"/>
          <w:highlight w:val="yellow"/>
        </w:rPr>
        <w:t>（报名截止时间由各校根据情况确定）</w:t>
      </w:r>
    </w:p>
    <w:p w14:paraId="0B0A502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400" w:lineRule="atLeast"/>
        <w:textAlignment w:val="auto"/>
        <w:rPr>
          <w:rFonts w:hint="eastAsia"/>
        </w:rPr>
      </w:pPr>
      <w:r>
        <w:rPr>
          <w:rFonts w:hint="eastAsia" w:ascii="仿宋" w:hAnsi="仿宋" w:eastAsia="仿宋" w:cs="仿宋"/>
          <w:sz w:val="24"/>
          <w:szCs w:val="28"/>
          <w:highlight w:val="yellow"/>
          <w:lang w:val="en-US" w:eastAsia="zh-CN"/>
        </w:rPr>
        <w:t>5.合作院校相关部门联系方式：</w:t>
      </w:r>
    </w:p>
    <w:p w14:paraId="100576E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400" w:lineRule="atLeast"/>
        <w:textAlignment w:val="auto"/>
        <w:rPr>
          <w:rFonts w:hint="default" w:ascii="仿宋" w:hAnsi="仿宋" w:eastAsia="仿宋" w:cs="仿宋"/>
          <w:sz w:val="24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8"/>
        </w:rPr>
        <w:t>咨询</w:t>
      </w:r>
      <w:r>
        <w:rPr>
          <w:rFonts w:hint="eastAsia" w:ascii="仿宋" w:hAnsi="仿宋" w:eastAsia="仿宋" w:cs="仿宋"/>
          <w:sz w:val="24"/>
          <w:szCs w:val="28"/>
          <w:lang w:val="en-US" w:eastAsia="zh-CN"/>
        </w:rPr>
        <w:t>老师</w:t>
      </w:r>
      <w:r>
        <w:rPr>
          <w:rFonts w:hint="eastAsia" w:ascii="仿宋" w:hAnsi="仿宋" w:eastAsia="仿宋" w:cs="仿宋"/>
          <w:sz w:val="24"/>
          <w:szCs w:val="28"/>
        </w:rPr>
        <w:t>手机/微信（</w:t>
      </w:r>
      <w:r>
        <w:rPr>
          <w:rFonts w:hint="eastAsia" w:ascii="仿宋" w:hAnsi="仿宋" w:eastAsia="仿宋" w:cs="仿宋"/>
          <w:sz w:val="24"/>
          <w:szCs w:val="28"/>
          <w:lang w:val="en-US" w:eastAsia="zh-CN"/>
        </w:rPr>
        <w:t>Bella</w:t>
      </w:r>
      <w:r>
        <w:rPr>
          <w:rFonts w:hint="eastAsia" w:ascii="仿宋" w:hAnsi="仿宋" w:eastAsia="仿宋" w:cs="仿宋"/>
          <w:sz w:val="24"/>
          <w:szCs w:val="28"/>
        </w:rPr>
        <w:t>老师</w:t>
      </w:r>
      <w:r>
        <w:rPr>
          <w:rFonts w:hint="eastAsia" w:ascii="仿宋" w:hAnsi="仿宋" w:eastAsia="仿宋" w:cs="仿宋"/>
          <w:sz w:val="24"/>
          <w:szCs w:val="28"/>
          <w:lang w:eastAsia="zh-CN"/>
        </w:rPr>
        <w:t>）</w:t>
      </w:r>
      <w:r>
        <w:rPr>
          <w:rFonts w:hint="eastAsia" w:ascii="仿宋" w:hAnsi="仿宋" w:eastAsia="仿宋" w:cs="仿宋"/>
          <w:sz w:val="24"/>
          <w:szCs w:val="28"/>
        </w:rPr>
        <w:t>：</w:t>
      </w:r>
      <w:r>
        <w:rPr>
          <w:rFonts w:hint="eastAsia" w:ascii="仿宋" w:hAnsi="仿宋" w:eastAsia="仿宋" w:cs="仿宋"/>
          <w:sz w:val="24"/>
          <w:szCs w:val="28"/>
          <w:lang w:val="en-US" w:eastAsia="zh-CN"/>
        </w:rPr>
        <w:t>18529396675</w:t>
      </w:r>
    </w:p>
    <w:p w14:paraId="013C7A5C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atLeast"/>
        <w:ind w:left="0" w:leftChars="0" w:firstLine="0" w:firstLineChars="0"/>
        <w:textAlignment w:val="auto"/>
        <w:rPr>
          <w:rFonts w:hint="eastAsia" w:ascii="仿宋" w:hAnsi="仿宋" w:eastAsia="仿宋" w:cs="仿宋"/>
          <w:sz w:val="24"/>
          <w:szCs w:val="28"/>
        </w:rPr>
      </w:pPr>
      <w:r>
        <w:rPr>
          <w:rFonts w:hint="eastAsia" w:ascii="仿宋" w:hAnsi="仿宋" w:eastAsia="仿宋" w:cs="仿宋"/>
          <w:sz w:val="24"/>
          <w:szCs w:val="28"/>
        </w:rPr>
        <w:t>访学项目部电话：020-82002936</w:t>
      </w:r>
    </w:p>
    <w:p w14:paraId="5315B918">
      <w:pPr>
        <w:spacing w:after="0" w:line="360" w:lineRule="auto"/>
        <w:rPr>
          <w:rFonts w:ascii="Times New Roman" w:hAnsi="Times New Roman" w:eastAsia="仿宋"/>
          <w:b w:val="0"/>
          <w:color w:val="000000"/>
          <w:sz w:val="24"/>
        </w:rPr>
      </w:pPr>
    </w:p>
    <w:p w14:paraId="302B5B98">
      <w:pPr>
        <w:spacing w:after="0" w:line="360" w:lineRule="auto"/>
      </w:pPr>
      <w:r>
        <w:rPr>
          <w:rFonts w:ascii="Times New Roman" w:hAnsi="Times New Roman" w:eastAsia="仿宋"/>
          <w:b w:val="0"/>
          <w:color w:val="000000"/>
          <w:sz w:val="24"/>
        </w:rPr>
        <w:t>附件—2027年</w:t>
      </w:r>
      <w:r>
        <w:rPr>
          <w:rFonts w:hint="eastAsia" w:ascii="Times New Roman" w:hAnsi="Times New Roman" w:eastAsia="仿宋"/>
          <w:b w:val="0"/>
          <w:color w:val="000000"/>
          <w:sz w:val="24"/>
          <w:lang w:eastAsia="zh-CN"/>
        </w:rPr>
        <w:t>寒假</w:t>
      </w:r>
      <w:r>
        <w:rPr>
          <w:rFonts w:ascii="Times New Roman" w:hAnsi="Times New Roman" w:eastAsia="仿宋"/>
          <w:b w:val="0"/>
          <w:color w:val="000000"/>
          <w:sz w:val="24"/>
        </w:rPr>
        <w:t>澳大利亚墨尔本大学学术写作与科研能力提升访学项目</w:t>
      </w:r>
    </w:p>
    <w:p w14:paraId="58743518">
      <w:pPr>
        <w:spacing w:after="0" w:line="360" w:lineRule="auto"/>
        <w:rPr>
          <w:rFonts w:hint="eastAsia" w:ascii="Times New Roman" w:hAnsi="Times New Roman" w:eastAsia="仿宋"/>
          <w:b w:val="0"/>
          <w:color w:val="000000"/>
          <w:sz w:val="24"/>
        </w:rPr>
      </w:pPr>
      <w:r>
        <w:rPr>
          <w:rFonts w:ascii="Times New Roman" w:hAnsi="Times New Roman" w:eastAsia="仿宋"/>
          <w:b w:val="0"/>
          <w:color w:val="000000"/>
          <w:sz w:val="24"/>
        </w:rPr>
        <w:t>点击链接或扫描二维码查看附件：</w:t>
      </w:r>
    </w:p>
    <w:p w14:paraId="1CB83827">
      <w:pPr>
        <w:pStyle w:val="2"/>
        <w:ind w:left="0" w:leftChars="0" w:firstLine="0" w:firstLineChars="0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fldChar w:fldCharType="begin"/>
      </w:r>
      <w:r>
        <w:rPr>
          <w:rFonts w:hint="eastAsia" w:eastAsia="宋体"/>
          <w:lang w:eastAsia="zh-CN"/>
        </w:rPr>
        <w:instrText xml:space="preserve"> HYPERLINK "https://book.yunzhan365.com/vfzcj/swuo/mobile/index.html" </w:instrText>
      </w:r>
      <w:r>
        <w:rPr>
          <w:rFonts w:hint="eastAsia" w:eastAsia="宋体"/>
          <w:lang w:eastAsia="zh-CN"/>
        </w:rPr>
        <w:fldChar w:fldCharType="separate"/>
      </w:r>
      <w:r>
        <w:rPr>
          <w:rStyle w:val="136"/>
          <w:rFonts w:hint="eastAsia" w:eastAsia="宋体"/>
          <w:lang w:eastAsia="zh-CN"/>
        </w:rPr>
        <w:t>https://book.yunzhan365.com/vfzcj/swuo/mobile/index.html</w:t>
      </w:r>
      <w:r>
        <w:rPr>
          <w:rFonts w:hint="eastAsia" w:eastAsia="宋体"/>
          <w:lang w:eastAsia="zh-CN"/>
        </w:rPr>
        <w:fldChar w:fldCharType="end"/>
      </w:r>
    </w:p>
    <w:p w14:paraId="02629A54">
      <w:pPr>
        <w:pStyle w:val="2"/>
        <w:ind w:left="0" w:leftChars="0" w:firstLine="0" w:firstLineChars="0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1250315" cy="1250315"/>
            <wp:effectExtent l="0" t="0" r="6985" b="6985"/>
            <wp:docPr id="1" name="图片 1" descr="附件-【13人工智能、教育】2027年墨尔本大学寒假学术写作与科研能力提升-链接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附件-【13人工智能、教育】2027年墨尔本大学寒假学术写作与科研能力提升-链接二维码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50315" cy="125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3" w:bottom="1440" w:left="1803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2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5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0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5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6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8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2122CE4"/>
    <w:rsid w:val="06BC0F66"/>
    <w:rsid w:val="0D312C9C"/>
    <w:rsid w:val="0DB17A04"/>
    <w:rsid w:val="0E6057FC"/>
    <w:rsid w:val="17DD0B98"/>
    <w:rsid w:val="1EA617C5"/>
    <w:rsid w:val="2DB3100A"/>
    <w:rsid w:val="30DA5678"/>
    <w:rsid w:val="3AFE12AE"/>
    <w:rsid w:val="42AC3291"/>
    <w:rsid w:val="42B27063"/>
    <w:rsid w:val="44EE0CDD"/>
    <w:rsid w:val="4791660D"/>
    <w:rsid w:val="4EA64975"/>
    <w:rsid w:val="53B23954"/>
    <w:rsid w:val="56741F66"/>
    <w:rsid w:val="61552766"/>
    <w:rsid w:val="6438654E"/>
    <w:rsid w:val="65D200F0"/>
    <w:rsid w:val="74545099"/>
    <w:rsid w:val="74E526A5"/>
    <w:rsid w:val="7BE36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qFormat="1"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5">
    <w:name w:val="heading 1"/>
    <w:basedOn w:val="1"/>
    <w:next w:val="1"/>
    <w:link w:val="142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6">
    <w:name w:val="heading 2"/>
    <w:basedOn w:val="1"/>
    <w:next w:val="1"/>
    <w:link w:val="143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7">
    <w:name w:val="heading 3"/>
    <w:basedOn w:val="1"/>
    <w:next w:val="1"/>
    <w:link w:val="144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8">
    <w:name w:val="heading 4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9">
    <w:name w:val="heading 5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10">
    <w:name w:val="heading 6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11">
    <w:name w:val="heading 7"/>
    <w:basedOn w:val="1"/>
    <w:next w:val="1"/>
    <w:link w:val="157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2">
    <w:name w:val="heading 8"/>
    <w:basedOn w:val="1"/>
    <w:next w:val="1"/>
    <w:link w:val="158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3">
    <w:name w:val="heading 9"/>
    <w:basedOn w:val="1"/>
    <w:next w:val="1"/>
    <w:link w:val="159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4">
    <w:name w:val="Default Paragraph Font"/>
    <w:semiHidden/>
    <w:unhideWhenUsed/>
    <w:qFormat/>
    <w:uiPriority w:val="1"/>
  </w:style>
  <w:style w:type="table" w:default="1" w:styleId="3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semiHidden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next w:val="2"/>
    <w:semiHidden/>
    <w:unhideWhenUsed/>
    <w:qFormat/>
    <w:uiPriority w:val="99"/>
    <w:pPr>
      <w:spacing w:after="120"/>
      <w:ind w:left="420" w:leftChars="200"/>
    </w:pPr>
  </w:style>
  <w:style w:type="paragraph" w:styleId="4">
    <w:name w:val="macro"/>
    <w:link w:val="151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4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5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6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7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8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9">
    <w:name w:val="Body Text 3"/>
    <w:basedOn w:val="1"/>
    <w:link w:val="150"/>
    <w:unhideWhenUsed/>
    <w:qFormat/>
    <w:uiPriority w:val="99"/>
    <w:pPr>
      <w:spacing w:after="120"/>
    </w:pPr>
    <w:rPr>
      <w:sz w:val="16"/>
      <w:szCs w:val="16"/>
    </w:rPr>
  </w:style>
  <w:style w:type="paragraph" w:styleId="20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21">
    <w:name w:val="Body Text"/>
    <w:basedOn w:val="1"/>
    <w:link w:val="148"/>
    <w:unhideWhenUsed/>
    <w:qFormat/>
    <w:uiPriority w:val="99"/>
    <w:pPr>
      <w:spacing w:after="120"/>
    </w:pPr>
  </w:style>
  <w:style w:type="paragraph" w:styleId="22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3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4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5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6">
    <w:name w:val="footer"/>
    <w:basedOn w:val="1"/>
    <w:link w:val="140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7">
    <w:name w:val="header"/>
    <w:basedOn w:val="1"/>
    <w:link w:val="139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8">
    <w:name w:val="Subtitle"/>
    <w:basedOn w:val="1"/>
    <w:next w:val="1"/>
    <w:link w:val="14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9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30">
    <w:name w:val="Body Text 2"/>
    <w:basedOn w:val="1"/>
    <w:link w:val="149"/>
    <w:unhideWhenUsed/>
    <w:qFormat/>
    <w:uiPriority w:val="99"/>
    <w:pPr>
      <w:spacing w:after="120" w:line="480" w:lineRule="auto"/>
    </w:pPr>
  </w:style>
  <w:style w:type="paragraph" w:styleId="31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2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3">
    <w:name w:val="Title"/>
    <w:basedOn w:val="1"/>
    <w:next w:val="1"/>
    <w:link w:val="145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5">
    <w:name w:val="Table Grid"/>
    <w:basedOn w:val="34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6">
    <w:name w:val="Light Shading"/>
    <w:basedOn w:val="34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7">
    <w:name w:val="Light Shading Accent 1"/>
    <w:basedOn w:val="34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8">
    <w:name w:val="Light Shading Accent 2"/>
    <w:basedOn w:val="34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9">
    <w:name w:val="Light Shading Accent 3"/>
    <w:basedOn w:val="34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0">
    <w:name w:val="Light Shading Accent 4"/>
    <w:basedOn w:val="34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1">
    <w:name w:val="Light Shading Accent 5"/>
    <w:basedOn w:val="34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2">
    <w:name w:val="Light Shading Accent 6"/>
    <w:basedOn w:val="34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3">
    <w:name w:val="Light List"/>
    <w:basedOn w:val="34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4">
    <w:name w:val="Light List Accent 1"/>
    <w:basedOn w:val="34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5">
    <w:name w:val="Light List Accent 2"/>
    <w:basedOn w:val="34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6">
    <w:name w:val="Light List Accent 3"/>
    <w:basedOn w:val="34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7">
    <w:name w:val="Light List Accent 4"/>
    <w:basedOn w:val="34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8">
    <w:name w:val="Light List Accent 5"/>
    <w:basedOn w:val="34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9">
    <w:name w:val="Light List Accent 6"/>
    <w:basedOn w:val="34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0">
    <w:name w:val="Light Grid"/>
    <w:basedOn w:val="34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1">
    <w:name w:val="Light Grid Accent 1"/>
    <w:basedOn w:val="34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2">
    <w:name w:val="Light Grid Accent 2"/>
    <w:basedOn w:val="34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3">
    <w:name w:val="Light Grid Accent 3"/>
    <w:basedOn w:val="34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4">
    <w:name w:val="Light Grid Accent 4"/>
    <w:basedOn w:val="34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5">
    <w:name w:val="Light Grid Accent 5"/>
    <w:basedOn w:val="34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6">
    <w:name w:val="Light Grid Accent 6"/>
    <w:basedOn w:val="34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7">
    <w:name w:val="Medium Shading 1"/>
    <w:basedOn w:val="34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1"/>
    <w:basedOn w:val="34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2"/>
    <w:basedOn w:val="34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3"/>
    <w:basedOn w:val="34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4"/>
    <w:basedOn w:val="34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5"/>
    <w:basedOn w:val="34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6"/>
    <w:basedOn w:val="34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2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1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2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3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4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5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6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List 1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2">
    <w:name w:val="Medium List 1 Accent 1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3">
    <w:name w:val="Medium List 1 Accent 2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4">
    <w:name w:val="Medium List 1 Accent 3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5">
    <w:name w:val="Medium List 1 Accent 4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6">
    <w:name w:val="Medium List 1 Accent 5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7">
    <w:name w:val="Medium List 1 Accent 6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8">
    <w:name w:val="Medium List 2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1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2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3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4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5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6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Grid 1"/>
    <w:basedOn w:val="34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6">
    <w:name w:val="Medium Grid 1 Accent 1"/>
    <w:basedOn w:val="34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7">
    <w:name w:val="Medium Grid 1 Accent 2"/>
    <w:basedOn w:val="34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8">
    <w:name w:val="Medium Grid 1 Accent 3"/>
    <w:basedOn w:val="34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9">
    <w:name w:val="Medium Grid 1 Accent 4"/>
    <w:basedOn w:val="34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0">
    <w:name w:val="Medium Grid 1 Accent 5"/>
    <w:basedOn w:val="34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1">
    <w:name w:val="Medium Grid 1 Accent 6"/>
    <w:basedOn w:val="34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2">
    <w:name w:val="Medium Grid 2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1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2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3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4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5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6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3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0">
    <w:name w:val="Medium Grid 3 Accent 1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1">
    <w:name w:val="Medium Grid 3 Accent 2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2">
    <w:name w:val="Medium Grid 3 Accent 3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3">
    <w:name w:val="Medium Grid 3 Accent 4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4">
    <w:name w:val="Medium Grid 3 Accent 5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5">
    <w:name w:val="Medium Grid 3 Accent 6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6">
    <w:name w:val="Dark List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7">
    <w:name w:val="Dark List Accent 1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8">
    <w:name w:val="Dark List Accent 2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9">
    <w:name w:val="Dark List Accent 3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0">
    <w:name w:val="Dark List Accent 4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1">
    <w:name w:val="Dark List Accent 5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2">
    <w:name w:val="Dark List Accent 6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3">
    <w:name w:val="Colorful Shading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1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2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3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7">
    <w:name w:val="Colorful Shading Accent 4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5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6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List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1">
    <w:name w:val="Colorful List Accent 1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2">
    <w:name w:val="Colorful List Accent 2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3">
    <w:name w:val="Colorful List Accent 3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4">
    <w:name w:val="Colorful List Accent 4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5">
    <w:name w:val="Colorful List Accent 5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6">
    <w:name w:val="Colorful List Accent 6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7">
    <w:name w:val="Colorful Grid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8">
    <w:name w:val="Colorful Grid Accent 1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9">
    <w:name w:val="Colorful Grid Accent 2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0">
    <w:name w:val="Colorful Grid Accent 3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1">
    <w:name w:val="Colorful Grid Accent 4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2">
    <w:name w:val="Colorful Grid Accent 5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3">
    <w:name w:val="Colorful Grid Accent 6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5">
    <w:name w:val="Strong"/>
    <w:basedOn w:val="134"/>
    <w:qFormat/>
    <w:uiPriority w:val="22"/>
    <w:rPr>
      <w:b/>
      <w:bCs/>
    </w:rPr>
  </w:style>
  <w:style w:type="character" w:styleId="136">
    <w:name w:val="FollowedHyperlink"/>
    <w:basedOn w:val="134"/>
    <w:semiHidden/>
    <w:unhideWhenUsed/>
    <w:qFormat/>
    <w:uiPriority w:val="99"/>
    <w:rPr>
      <w:color w:val="800080"/>
      <w:u w:val="single"/>
    </w:rPr>
  </w:style>
  <w:style w:type="character" w:styleId="137">
    <w:name w:val="Emphasis"/>
    <w:basedOn w:val="134"/>
    <w:qFormat/>
    <w:uiPriority w:val="20"/>
    <w:rPr>
      <w:i/>
      <w:iCs/>
    </w:rPr>
  </w:style>
  <w:style w:type="character" w:styleId="138">
    <w:name w:val="Hyperlink"/>
    <w:basedOn w:val="134"/>
    <w:semiHidden/>
    <w:unhideWhenUsed/>
    <w:qFormat/>
    <w:uiPriority w:val="99"/>
    <w:rPr>
      <w:color w:val="0000FF"/>
      <w:u w:val="single"/>
    </w:rPr>
  </w:style>
  <w:style w:type="character" w:customStyle="1" w:styleId="139">
    <w:name w:val="Header Char"/>
    <w:basedOn w:val="134"/>
    <w:link w:val="27"/>
    <w:qFormat/>
    <w:uiPriority w:val="99"/>
  </w:style>
  <w:style w:type="character" w:customStyle="1" w:styleId="140">
    <w:name w:val="Footer Char"/>
    <w:basedOn w:val="134"/>
    <w:link w:val="26"/>
    <w:qFormat/>
    <w:uiPriority w:val="99"/>
  </w:style>
  <w:style w:type="paragraph" w:styleId="141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42">
    <w:name w:val="Heading 1 Char"/>
    <w:basedOn w:val="134"/>
    <w:link w:val="5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3">
    <w:name w:val="Heading 2 Char"/>
    <w:basedOn w:val="134"/>
    <w:link w:val="6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4">
    <w:name w:val="Heading 3 Char"/>
    <w:basedOn w:val="134"/>
    <w:link w:val="7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5">
    <w:name w:val="Title Char"/>
    <w:basedOn w:val="134"/>
    <w:link w:val="33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6">
    <w:name w:val="Subtitle Char"/>
    <w:basedOn w:val="134"/>
    <w:link w:val="28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7">
    <w:name w:val="List Paragraph"/>
    <w:basedOn w:val="1"/>
    <w:qFormat/>
    <w:uiPriority w:val="34"/>
    <w:pPr>
      <w:ind w:left="720"/>
      <w:contextualSpacing/>
    </w:pPr>
  </w:style>
  <w:style w:type="character" w:customStyle="1" w:styleId="148">
    <w:name w:val="Body Text Char"/>
    <w:basedOn w:val="134"/>
    <w:link w:val="21"/>
    <w:qFormat/>
    <w:uiPriority w:val="99"/>
  </w:style>
  <w:style w:type="character" w:customStyle="1" w:styleId="149">
    <w:name w:val="Body Text 2 Char"/>
    <w:basedOn w:val="134"/>
    <w:link w:val="30"/>
    <w:qFormat/>
    <w:uiPriority w:val="99"/>
  </w:style>
  <w:style w:type="character" w:customStyle="1" w:styleId="150">
    <w:name w:val="Body Text 3 Char"/>
    <w:basedOn w:val="134"/>
    <w:link w:val="19"/>
    <w:qFormat/>
    <w:uiPriority w:val="99"/>
    <w:rPr>
      <w:sz w:val="16"/>
      <w:szCs w:val="16"/>
    </w:rPr>
  </w:style>
  <w:style w:type="character" w:customStyle="1" w:styleId="151">
    <w:name w:val="Macro Text Char"/>
    <w:basedOn w:val="134"/>
    <w:link w:val="4"/>
    <w:qFormat/>
    <w:uiPriority w:val="99"/>
    <w:rPr>
      <w:rFonts w:ascii="Courier" w:hAnsi="Courier"/>
      <w:sz w:val="20"/>
      <w:szCs w:val="20"/>
    </w:rPr>
  </w:style>
  <w:style w:type="paragraph" w:styleId="152">
    <w:name w:val="Quote"/>
    <w:basedOn w:val="1"/>
    <w:next w:val="1"/>
    <w:link w:val="153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3">
    <w:name w:val="Quote Char"/>
    <w:basedOn w:val="134"/>
    <w:link w:val="152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4">
    <w:name w:val="Heading 4 Char"/>
    <w:basedOn w:val="134"/>
    <w:link w:val="8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5">
    <w:name w:val="Heading 5 Char"/>
    <w:basedOn w:val="134"/>
    <w:link w:val="9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6">
    <w:name w:val="Heading 6 Char"/>
    <w:basedOn w:val="134"/>
    <w:link w:val="10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7">
    <w:name w:val="Heading 7 Char"/>
    <w:basedOn w:val="134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8">
    <w:name w:val="Heading 8 Char"/>
    <w:basedOn w:val="134"/>
    <w:link w:val="12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9">
    <w:name w:val="Heading 9 Char"/>
    <w:basedOn w:val="134"/>
    <w:link w:val="13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60">
    <w:name w:val="Intense Quote"/>
    <w:basedOn w:val="1"/>
    <w:next w:val="1"/>
    <w:link w:val="161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Intense Quote Char"/>
    <w:basedOn w:val="134"/>
    <w:link w:val="160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2">
    <w:name w:val="Subtle Emphasis"/>
    <w:basedOn w:val="134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3">
    <w:name w:val="Intense Emphasis"/>
    <w:basedOn w:val="134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4">
    <w:name w:val="Subtle Reference"/>
    <w:basedOn w:val="134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5">
    <w:name w:val="Intense Reference"/>
    <w:basedOn w:val="134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6">
    <w:name w:val="Book Title"/>
    <w:basedOn w:val="134"/>
    <w:qFormat/>
    <w:uiPriority w:val="33"/>
    <w:rPr>
      <w:b/>
      <w:bCs/>
      <w:smallCaps/>
      <w:spacing w:val="5"/>
    </w:rPr>
  </w:style>
  <w:style w:type="paragraph" w:customStyle="1" w:styleId="167">
    <w:name w:val="TOC Heading"/>
    <w:basedOn w:val="5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2815</Words>
  <Characters>3068</Characters>
  <Lines>0</Lines>
  <Paragraphs>0</Paragraphs>
  <TotalTime>33</TotalTime>
  <ScaleCrop>false</ScaleCrop>
  <LinksUpToDate>false</LinksUpToDate>
  <CharactersWithSpaces>3101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DCN-卢艳粤</cp:lastModifiedBy>
  <dcterms:modified xsi:type="dcterms:W3CDTF">2026-09-10T03:45:53Z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eyJoZGlkIjoiZjM3MzZiZDUwMmY0ZTlhNjZjNTVhY2I5NDk3YmY3ODAiLCJ1c2VySWQiOiI0MDIwNTcwMjIifQ==</vt:lpwstr>
  </property>
  <property fmtid="{D5CDD505-2E9C-101B-9397-08002B2CF9AE}" pid="3" name="KSOProductBuildVer">
    <vt:lpwstr>2052-12.1.0.28043</vt:lpwstr>
  </property>
  <property fmtid="{D5CDD505-2E9C-101B-9397-08002B2CF9AE}" pid="4" name="ICV">
    <vt:lpwstr>B074A9CFF78F4072B1B654610C5CDDA1_13</vt:lpwstr>
  </property>
</Properties>
</file>