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95AB0">
      <w:pPr>
        <w:pStyle w:val="6"/>
        <w:keepNext/>
        <w:keepLines/>
        <w:pageBreakBefore w:val="0"/>
        <w:widowControl/>
        <w:kinsoku/>
        <w:wordWrap/>
        <w:overflowPunct/>
        <w:topLinePunct w:val="0"/>
        <w:autoSpaceDE/>
        <w:autoSpaceDN/>
        <w:bidi w:val="0"/>
        <w:adjustRightInd/>
        <w:snapToGrid/>
        <w:spacing w:before="313" w:beforeLines="100" w:after="157" w:afterLines="50" w:line="440" w:lineRule="atLeast"/>
        <w:jc w:val="center"/>
        <w:textAlignment w:val="auto"/>
        <w:rPr>
          <w:rFonts w:hint="eastAsia" w:ascii="仿宋" w:hAnsi="仿宋" w:eastAsia="仿宋" w:cs="仿宋"/>
          <w:sz w:val="40"/>
          <w:szCs w:val="40"/>
          <w:lang w:eastAsia="zh-CN"/>
        </w:rPr>
      </w:pPr>
      <w:r>
        <w:rPr>
          <w:rFonts w:hint="eastAsia" w:ascii="仿宋" w:hAnsi="仿宋" w:eastAsia="仿宋" w:cs="仿宋"/>
          <w:sz w:val="40"/>
          <w:szCs w:val="40"/>
          <w:lang w:eastAsia="zh-CN"/>
        </w:rPr>
        <w:t>关于报名参加2026年暑假澳大利亚西澳大学</w:t>
      </w:r>
    </w:p>
    <w:p w14:paraId="19172A0E">
      <w:pPr>
        <w:pStyle w:val="6"/>
        <w:keepNext/>
        <w:keepLines/>
        <w:pageBreakBefore w:val="0"/>
        <w:widowControl/>
        <w:kinsoku/>
        <w:wordWrap/>
        <w:overflowPunct/>
        <w:topLinePunct w:val="0"/>
        <w:autoSpaceDE/>
        <w:autoSpaceDN/>
        <w:bidi w:val="0"/>
        <w:adjustRightInd/>
        <w:snapToGrid/>
        <w:spacing w:before="313" w:beforeLines="100" w:after="157" w:afterLines="50" w:line="440" w:lineRule="atLeast"/>
        <w:jc w:val="center"/>
        <w:textAlignment w:val="auto"/>
        <w:rPr>
          <w:rFonts w:hint="eastAsia" w:ascii="仿宋" w:hAnsi="仿宋" w:eastAsia="仿宋" w:cs="仿宋"/>
          <w:sz w:val="40"/>
          <w:szCs w:val="40"/>
          <w:lang w:eastAsia="zh-CN"/>
        </w:rPr>
      </w:pPr>
      <w:r>
        <w:rPr>
          <w:rFonts w:hint="eastAsia" w:ascii="仿宋" w:hAnsi="仿宋" w:eastAsia="仿宋" w:cs="仿宋"/>
          <w:sz w:val="40"/>
          <w:szCs w:val="40"/>
          <w:lang w:val="en-US" w:eastAsia="zh-CN"/>
        </w:rPr>
        <w:t>批判性思维与人工智能/商科管理/生命科学</w:t>
      </w:r>
      <w:r>
        <w:rPr>
          <w:rFonts w:hint="eastAsia" w:ascii="仿宋" w:hAnsi="仿宋" w:eastAsia="仿宋" w:cs="仿宋"/>
          <w:sz w:val="40"/>
          <w:szCs w:val="40"/>
          <w:lang w:eastAsia="zh-CN"/>
        </w:rPr>
        <w:t>访学</w:t>
      </w:r>
    </w:p>
    <w:p w14:paraId="447584E4">
      <w:pPr>
        <w:pStyle w:val="6"/>
        <w:keepNext/>
        <w:keepLines/>
        <w:pageBreakBefore w:val="0"/>
        <w:widowControl/>
        <w:kinsoku/>
        <w:wordWrap/>
        <w:overflowPunct/>
        <w:topLinePunct w:val="0"/>
        <w:autoSpaceDE/>
        <w:autoSpaceDN/>
        <w:bidi w:val="0"/>
        <w:adjustRightInd/>
        <w:snapToGrid/>
        <w:spacing w:before="313" w:beforeLines="100" w:after="157" w:afterLines="50" w:line="440" w:lineRule="atLeast"/>
        <w:jc w:val="center"/>
        <w:textAlignment w:val="auto"/>
        <w:rPr>
          <w:rFonts w:hint="eastAsia" w:ascii="仿宋" w:hAnsi="仿宋" w:eastAsia="仿宋" w:cs="仿宋"/>
          <w:sz w:val="40"/>
          <w:szCs w:val="40"/>
          <w:lang w:eastAsia="zh-CN"/>
        </w:rPr>
      </w:pPr>
      <w:r>
        <w:rPr>
          <w:rFonts w:hint="eastAsia" w:ascii="仿宋" w:hAnsi="仿宋" w:eastAsia="仿宋" w:cs="仿宋"/>
          <w:sz w:val="40"/>
          <w:szCs w:val="40"/>
          <w:lang w:eastAsia="zh-CN"/>
        </w:rPr>
        <w:t>项目的通知</w:t>
      </w:r>
    </w:p>
    <w:p w14:paraId="2AE95877">
      <w:pPr>
        <w:pStyle w:val="2"/>
        <w:ind w:left="0" w:leftChars="0" w:firstLine="0" w:firstLineChars="0"/>
        <w:rPr>
          <w:rFonts w:hint="eastAsia"/>
          <w:lang w:val="en-US" w:eastAsia="zh-CN"/>
        </w:rPr>
      </w:pPr>
    </w:p>
    <w:p w14:paraId="635F960E">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 w:hAnsi="仿宋" w:eastAsia="仿宋" w:cs="仿宋"/>
          <w:b/>
          <w:bCs/>
          <w:kern w:val="2"/>
          <w:sz w:val="28"/>
          <w:szCs w:val="32"/>
          <w:lang w:val="en-US" w:eastAsia="zh-CN"/>
        </w:rPr>
      </w:pPr>
      <w:r>
        <w:rPr>
          <w:rFonts w:hint="eastAsia" w:ascii="仿宋" w:hAnsi="仿宋" w:eastAsia="仿宋" w:cs="仿宋"/>
          <w:b/>
          <w:bCs/>
          <w:kern w:val="2"/>
          <w:sz w:val="28"/>
          <w:szCs w:val="32"/>
          <w:lang w:val="en-US" w:eastAsia="zh-CN"/>
        </w:rPr>
        <w:t>一、学校简介</w:t>
      </w:r>
    </w:p>
    <w:p w14:paraId="0137423D">
      <w:pPr>
        <w:keepNext w:val="0"/>
        <w:keepLines w:val="0"/>
        <w:pageBreakBefore w:val="0"/>
        <w:widowControl w:val="0"/>
        <w:kinsoku/>
        <w:wordWrap/>
        <w:overflowPunct/>
        <w:topLinePunct w:val="0"/>
        <w:autoSpaceDE/>
        <w:autoSpaceDN/>
        <w:bidi w:val="0"/>
        <w:adjustRightInd/>
        <w:snapToGrid/>
        <w:spacing w:after="120"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xml:space="preserve">西澳大学（University of Western Australia，简称UWA）始建于1911年，坐落于澳大利亚西澳州首府珀斯，是澳大利亚历史最悠久、学术声誉卓著的研究型大学之一。作为澳大利亚八校联盟、全球大学高研院联盟等多个国际顶尖高校联盟成员，UWA跻身“澳洲六大砂岩学府”之列，学术实力广受认可。在2026年QS世界大学排名中，UWA位列第77位，稳居世界前100强，其在人工智能、生命科学、环境科学等领域的研究成果处于全球领先水平。 </w:t>
      </w:r>
    </w:p>
    <w:p w14:paraId="10E57924">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 w:hAnsi="仿宋" w:eastAsia="仿宋" w:cs="仿宋"/>
          <w:b/>
          <w:bCs/>
          <w:kern w:val="2"/>
          <w:sz w:val="28"/>
          <w:szCs w:val="32"/>
          <w:lang w:val="en-US" w:eastAsia="zh-CN"/>
        </w:rPr>
      </w:pPr>
      <w:r>
        <w:rPr>
          <w:rFonts w:hint="eastAsia" w:ascii="仿宋" w:hAnsi="仿宋" w:eastAsia="仿宋" w:cs="仿宋"/>
          <w:b/>
          <w:bCs/>
          <w:kern w:val="2"/>
          <w:sz w:val="28"/>
          <w:szCs w:val="32"/>
          <w:lang w:val="en-US" w:eastAsia="zh-CN"/>
        </w:rPr>
        <w:t>二、项目内容</w:t>
      </w:r>
    </w:p>
    <w:p w14:paraId="739C7247">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textAlignment w:val="auto"/>
        <w:rPr>
          <w:rFonts w:hint="eastAsia" w:ascii="仿宋" w:hAnsi="仿宋" w:eastAsia="仿宋" w:cs="仿宋"/>
          <w:b/>
          <w:bCs/>
          <w:kern w:val="2"/>
          <w:sz w:val="24"/>
          <w:szCs w:val="28"/>
          <w:lang w:val="en-US" w:eastAsia="zh-CN" w:bidi="ar-SA"/>
        </w:rPr>
      </w:pPr>
      <w:r>
        <w:rPr>
          <w:rFonts w:hint="eastAsia" w:ascii="仿宋" w:hAnsi="仿宋" w:eastAsia="仿宋" w:cs="仿宋"/>
          <w:b/>
          <w:bCs/>
          <w:kern w:val="2"/>
          <w:sz w:val="24"/>
          <w:szCs w:val="28"/>
          <w:lang w:val="en-US" w:eastAsia="zh-CN" w:bidi="ar-SA"/>
        </w:rPr>
        <w:t>1.项目主题：批判性思维与人工智能/商科管理/生命科学主题+悉尼社会文化考察（可选项）</w:t>
      </w:r>
    </w:p>
    <w:p w14:paraId="19966DD3">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textAlignment w:val="auto"/>
        <w:rPr>
          <w:rFonts w:hint="default" w:ascii="仿宋" w:hAnsi="仿宋" w:eastAsia="仿宋" w:cs="仿宋"/>
          <w:b/>
          <w:bCs/>
          <w:kern w:val="2"/>
          <w:sz w:val="24"/>
          <w:szCs w:val="28"/>
          <w:lang w:val="en-US" w:eastAsia="zh-CN" w:bidi="ar-SA"/>
        </w:rPr>
      </w:pPr>
      <w:r>
        <w:rPr>
          <w:rFonts w:hint="eastAsia" w:ascii="仿宋" w:hAnsi="仿宋" w:eastAsia="仿宋" w:cs="仿宋"/>
          <w:b/>
          <w:bCs/>
          <w:kern w:val="2"/>
          <w:sz w:val="24"/>
          <w:szCs w:val="28"/>
          <w:lang w:val="en-US" w:eastAsia="zh-CN" w:bidi="ar-SA"/>
        </w:rPr>
        <w:t>2.项目时间：</w:t>
      </w:r>
    </w:p>
    <w:p w14:paraId="63E7F4CC">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bCs/>
          <w:kern w:val="2"/>
          <w:sz w:val="24"/>
          <w:szCs w:val="28"/>
          <w:lang w:val="en-US" w:eastAsia="zh-CN" w:bidi="ar-SA"/>
        </w:rPr>
        <w:t>（1）批判性思维与人工智能/商科管理/生命科学主题+：</w:t>
      </w:r>
      <w:r>
        <w:rPr>
          <w:rFonts w:hint="eastAsia" w:ascii="仿宋" w:hAnsi="仿宋" w:eastAsia="仿宋" w:cs="仿宋"/>
          <w:b w:val="0"/>
          <w:bCs w:val="0"/>
          <w:kern w:val="2"/>
          <w:sz w:val="24"/>
          <w:szCs w:val="28"/>
          <w:lang w:val="en-US" w:eastAsia="zh-CN" w:bidi="ar-SA"/>
        </w:rPr>
        <w:t>2026年7月23日至8月4日（含往返行程，共13天）</w:t>
      </w:r>
    </w:p>
    <w:p w14:paraId="3B60217F">
      <w:pPr>
        <w:spacing w:line="360" w:lineRule="auto"/>
        <w:rPr>
          <w:rFonts w:hint="default" w:ascii="仿宋" w:hAnsi="仿宋" w:eastAsia="仿宋" w:cs="仿宋"/>
          <w:b/>
          <w:bCs/>
          <w:kern w:val="2"/>
          <w:sz w:val="24"/>
          <w:szCs w:val="28"/>
          <w:lang w:val="en-US" w:eastAsia="zh-CN" w:bidi="ar-SA"/>
        </w:rPr>
      </w:pPr>
      <w:r>
        <w:rPr>
          <w:rFonts w:hint="eastAsia" w:ascii="仿宋" w:hAnsi="仿宋" w:eastAsia="仿宋" w:cs="仿宋"/>
          <w:b/>
          <w:bCs/>
          <w:kern w:val="2"/>
          <w:sz w:val="24"/>
          <w:szCs w:val="28"/>
          <w:lang w:val="en-US" w:eastAsia="zh-CN" w:bidi="ar-SA"/>
        </w:rPr>
        <w:t>（2）悉尼社会文化考察（可选项）：</w:t>
      </w:r>
      <w:r>
        <w:rPr>
          <w:rFonts w:hint="eastAsia" w:ascii="仿宋" w:hAnsi="仿宋" w:eastAsia="仿宋" w:cs="仿宋"/>
          <w:b w:val="0"/>
          <w:bCs w:val="0"/>
          <w:kern w:val="2"/>
          <w:sz w:val="24"/>
          <w:szCs w:val="28"/>
          <w:lang w:val="en-US" w:eastAsia="zh-CN" w:bidi="ar-SA"/>
        </w:rPr>
        <w:t>2026年8月3日-8月9日（7天6晚）</w:t>
      </w:r>
    </w:p>
    <w:p w14:paraId="08AD55C7">
      <w:pPr>
        <w:keepNext w:val="0"/>
        <w:keepLines w:val="0"/>
        <w:pageBreakBefore w:val="0"/>
        <w:widowControl/>
        <w:kinsoku/>
        <w:wordWrap/>
        <w:overflowPunct/>
        <w:topLinePunct w:val="0"/>
        <w:autoSpaceDE/>
        <w:autoSpaceDN/>
        <w:bidi w:val="0"/>
        <w:adjustRightInd/>
        <w:snapToGrid/>
        <w:spacing w:after="157" w:afterLines="50" w:line="36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*具体出发、返回时间可能根据航班等因素微调。</w:t>
      </w:r>
    </w:p>
    <w:p w14:paraId="014318EE">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kern w:val="2"/>
          <w:sz w:val="24"/>
          <w:szCs w:val="28"/>
          <w:lang w:val="en-US" w:eastAsia="zh-CN" w:bidi="ar-SA"/>
        </w:rPr>
      </w:pPr>
      <w:r>
        <w:rPr>
          <w:rFonts w:hint="eastAsia" w:ascii="仿宋" w:hAnsi="仿宋" w:eastAsia="仿宋" w:cs="仿宋"/>
          <w:b/>
          <w:bCs/>
          <w:kern w:val="2"/>
          <w:sz w:val="24"/>
          <w:szCs w:val="28"/>
          <w:lang w:val="en-US" w:eastAsia="zh-CN" w:bidi="ar-SA"/>
        </w:rPr>
        <w:t>3.</w:t>
      </w:r>
      <w:r>
        <w:rPr>
          <w:rFonts w:hint="eastAsia" w:ascii="仿宋" w:hAnsi="仿宋" w:eastAsia="仿宋" w:cs="仿宋"/>
          <w:b/>
          <w:bCs/>
          <w:sz w:val="24"/>
          <w:szCs w:val="28"/>
          <w:lang w:val="en-US" w:eastAsia="zh-CN"/>
        </w:rPr>
        <w:t>主要</w:t>
      </w:r>
      <w:r>
        <w:rPr>
          <w:rFonts w:hint="eastAsia" w:ascii="仿宋" w:hAnsi="仿宋" w:eastAsia="仿宋" w:cs="仿宋"/>
          <w:b/>
          <w:bCs/>
          <w:kern w:val="2"/>
          <w:sz w:val="24"/>
          <w:szCs w:val="28"/>
          <w:lang w:val="en-US" w:eastAsia="zh-CN" w:bidi="ar-SA"/>
        </w:rPr>
        <w:t>课程内容：</w:t>
      </w:r>
    </w:p>
    <w:p w14:paraId="520C78B1">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（一）注册为西澳大学访学学生</w:t>
      </w:r>
    </w:p>
    <w:p w14:paraId="69908714">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学生注册成为西澳大学的访学学生后，将获得由学校颁发的</w:t>
      </w:r>
      <w:r>
        <w:rPr>
          <w:rFonts w:hint="eastAsia" w:ascii="仿宋" w:hAnsi="仿宋" w:eastAsia="仿宋" w:cs="仿宋"/>
          <w:b/>
          <w:bCs/>
          <w:kern w:val="2"/>
          <w:sz w:val="24"/>
          <w:szCs w:val="28"/>
          <w:lang w:val="en-US" w:eastAsia="zh-CN" w:bidi="ar-SA"/>
        </w:rPr>
        <w:t>专属访学学生卡以及西澳公共交通卡</w:t>
      </w:r>
      <w:r>
        <w:rPr>
          <w:rFonts w:hint="eastAsia" w:ascii="仿宋" w:hAnsi="仿宋" w:eastAsia="仿宋" w:cs="仿宋"/>
          <w:b w:val="0"/>
          <w:bCs w:val="0"/>
          <w:kern w:val="2"/>
          <w:sz w:val="24"/>
          <w:szCs w:val="28"/>
          <w:lang w:val="en-US" w:eastAsia="zh-CN" w:bidi="ar-SA"/>
        </w:rPr>
        <w:t>。学生可使用西澳大学图书馆等校内公共资源，获取丰富的学术资料以拓展知识，同时享受当地公共交通的学生折扣，便利出行。</w:t>
      </w:r>
    </w:p>
    <w:p w14:paraId="7EDE047E">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（二）批判性思维和英语学术训练</w:t>
      </w:r>
    </w:p>
    <w:p w14:paraId="6B244537">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仿宋" w:hAnsi="仿宋" w:eastAsia="仿宋" w:cs="仿宋"/>
          <w:b w:val="0"/>
          <w:bCs w:val="0"/>
          <w:kern w:val="2"/>
          <w:sz w:val="24"/>
          <w:szCs w:val="28"/>
          <w:lang w:val="en-US" w:eastAsia="zh-CN" w:bidi="ar-SA"/>
        </w:rPr>
      </w:pPr>
      <w:r>
        <w:rPr>
          <w:rFonts w:hint="default" w:ascii="仿宋" w:hAnsi="仿宋" w:eastAsia="仿宋" w:cs="仿宋"/>
          <w:b w:val="0"/>
          <w:bCs w:val="0"/>
          <w:kern w:val="2"/>
          <w:sz w:val="24"/>
          <w:szCs w:val="28"/>
          <w:lang w:val="en-US" w:eastAsia="zh-CN" w:bidi="ar-SA"/>
        </w:rPr>
        <w:t>在课程期间，学生将参与每天3小时的全英语课程，课程内容涵盖批判性思维训练、课题研究方法、澳大利亚文化认知等多元模块。通过这些模块的学习，学生将提升批判性思维和分析问题的能力，同时熟悉英语写作与表达方式，增强在国际</w:t>
      </w:r>
      <w:r>
        <w:rPr>
          <w:rFonts w:hint="eastAsia" w:ascii="仿宋" w:hAnsi="仿宋" w:eastAsia="仿宋" w:cs="仿宋"/>
          <w:b w:val="0"/>
          <w:bCs w:val="0"/>
          <w:kern w:val="2"/>
          <w:sz w:val="24"/>
          <w:szCs w:val="28"/>
          <w:lang w:val="en-US" w:eastAsia="zh-CN" w:bidi="ar-SA"/>
        </w:rPr>
        <w:t>语言</w:t>
      </w:r>
      <w:r>
        <w:rPr>
          <w:rFonts w:hint="default" w:ascii="仿宋" w:hAnsi="仿宋" w:eastAsia="仿宋" w:cs="仿宋"/>
          <w:b w:val="0"/>
          <w:bCs w:val="0"/>
          <w:kern w:val="2"/>
          <w:sz w:val="24"/>
          <w:szCs w:val="28"/>
          <w:lang w:val="en-US" w:eastAsia="zh-CN" w:bidi="ar-SA"/>
        </w:rPr>
        <w:t>环境中的沟通和研究能力。</w:t>
      </w:r>
    </w:p>
    <w:p w14:paraId="7F5C2C3A">
      <w:pPr>
        <w:pStyle w:val="7"/>
        <w:spacing w:before="214" w:line="364" w:lineRule="auto"/>
        <w:ind w:right="408"/>
        <w:jc w:val="both"/>
        <w:rPr>
          <w:rFonts w:hint="default"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（三）专业学术能力提升：</w:t>
      </w:r>
    </w:p>
    <w:p w14:paraId="1BD43B3C">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bCs/>
          <w:color w:val="FF0000"/>
          <w:kern w:val="2"/>
          <w:sz w:val="24"/>
          <w:szCs w:val="28"/>
          <w:lang w:val="en-US" w:eastAsia="zh-CN" w:bidi="ar-SA"/>
        </w:rPr>
        <w:t>人工智能方向</w:t>
      </w:r>
      <w:r>
        <w:rPr>
          <w:rFonts w:hint="eastAsia" w:ascii="仿宋" w:hAnsi="仿宋" w:eastAsia="仿宋" w:cs="仿宋"/>
          <w:b w:val="0"/>
          <w:bCs w:val="0"/>
          <w:kern w:val="2"/>
          <w:sz w:val="24"/>
          <w:szCs w:val="28"/>
          <w:lang w:val="en-US" w:eastAsia="zh-CN" w:bidi="ar-SA"/>
        </w:rPr>
        <w:t>：项目期间，将邀请人工智能领域的授课讲师、行业专家或博士生等进行1-2次的讲座和交流。</w:t>
      </w:r>
      <w:r>
        <w:rPr>
          <w:rFonts w:hint="eastAsia" w:ascii="仿宋" w:hAnsi="仿宋" w:eastAsia="仿宋" w:cs="仿宋"/>
          <w:b/>
          <w:bCs/>
          <w:kern w:val="2"/>
          <w:sz w:val="24"/>
          <w:szCs w:val="28"/>
          <w:lang w:val="en-US" w:eastAsia="zh-CN" w:bidi="ar-SA"/>
        </w:rPr>
        <w:t>讲座内容可能涵盖AI伦理与未来发展，学生将有机会了解AI技术的最新进展及其在医疗、金融、教育等多领域的广泛应用。</w:t>
      </w:r>
      <w:r>
        <w:rPr>
          <w:rFonts w:hint="eastAsia" w:ascii="仿宋" w:hAnsi="仿宋" w:eastAsia="仿宋" w:cs="仿宋"/>
          <w:b w:val="0"/>
          <w:bCs w:val="0"/>
          <w:kern w:val="2"/>
          <w:sz w:val="24"/>
          <w:szCs w:val="28"/>
          <w:lang w:val="en-US" w:eastAsia="zh-CN" w:bidi="ar-SA"/>
        </w:rPr>
        <w:t>讲座将探讨人工智能如何改变我们的生活和工作方式，以及它在解决复杂问题中的潜力。此外，学生还有机会学习如何从海量数据中提取有价值的信息，为行业决策提供参考，同时体验大数据分析、机器学习算法及数据可视化技术的魅力，洞察数据驱动决策的未来方向。</w:t>
      </w:r>
    </w:p>
    <w:p w14:paraId="2E726A3E">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bCs/>
          <w:color w:val="FF0000"/>
          <w:kern w:val="2"/>
          <w:sz w:val="24"/>
          <w:szCs w:val="28"/>
          <w:lang w:val="en-US" w:eastAsia="zh-CN" w:bidi="ar-SA"/>
        </w:rPr>
        <w:t>商科管理方向：</w:t>
      </w:r>
      <w:r>
        <w:rPr>
          <w:rFonts w:hint="default" w:ascii="仿宋" w:hAnsi="仿宋" w:eastAsia="仿宋" w:cs="仿宋"/>
          <w:b w:val="0"/>
          <w:bCs w:val="0"/>
          <w:kern w:val="2"/>
          <w:sz w:val="24"/>
          <w:szCs w:val="28"/>
          <w:lang w:val="en-US" w:eastAsia="zh-CN" w:bidi="ar-SA"/>
        </w:rPr>
        <w:t>根据项目实时资源安排，拟举办1-2场商科管理类专题系列讲座及学术交流，由相关学科领域的大学教授、讲师、或行业资深人士主讲。</w:t>
      </w:r>
      <w:r>
        <w:rPr>
          <w:rFonts w:hint="default" w:ascii="仿宋" w:hAnsi="仿宋" w:eastAsia="仿宋" w:cs="仿宋"/>
          <w:b/>
          <w:bCs/>
          <w:kern w:val="2"/>
          <w:sz w:val="24"/>
          <w:szCs w:val="28"/>
          <w:lang w:val="en-US" w:eastAsia="zh-CN" w:bidi="ar-SA"/>
        </w:rPr>
        <w:t>往期开展过的讲座主题有领导力开发、组织行为、战略决策、团队管理与跨文化协作等核心议题。</w:t>
      </w:r>
      <w:r>
        <w:rPr>
          <w:rFonts w:hint="default" w:ascii="仿宋" w:hAnsi="仿宋" w:eastAsia="仿宋" w:cs="仿宋"/>
          <w:b w:val="0"/>
          <w:bCs w:val="0"/>
          <w:kern w:val="2"/>
          <w:sz w:val="24"/>
          <w:szCs w:val="28"/>
          <w:lang w:val="en-US" w:eastAsia="zh-CN" w:bidi="ar-SA"/>
        </w:rPr>
        <w:t>参与者将从理论与实践相结合的角度，探讨管理学前沿理念在不同组织环境中的应用价值与发展趋势，并关注全球化背景下的共性挑战与应对思路。通过高层次的互动与思辨，学生将系统构建管理知识体系，拓展国际视野，培养战略思维与综合管理能力，为未来成为具有全球胜任力的管理人才奠定基础</w:t>
      </w:r>
      <w:r>
        <w:rPr>
          <w:rFonts w:hint="eastAsia" w:ascii="仿宋" w:hAnsi="仿宋" w:eastAsia="仿宋" w:cs="仿宋"/>
          <w:b w:val="0"/>
          <w:bCs w:val="0"/>
          <w:kern w:val="2"/>
          <w:sz w:val="24"/>
          <w:szCs w:val="28"/>
          <w:lang w:val="en-US" w:eastAsia="zh-CN" w:bidi="ar-SA"/>
        </w:rPr>
        <w:t>。</w:t>
      </w:r>
    </w:p>
    <w:p w14:paraId="7446A6B7">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default" w:ascii="仿宋" w:hAnsi="仿宋" w:eastAsia="仿宋" w:cs="仿宋"/>
          <w:b w:val="0"/>
          <w:bCs w:val="0"/>
          <w:kern w:val="2"/>
          <w:sz w:val="24"/>
          <w:szCs w:val="28"/>
          <w:lang w:val="en-US" w:eastAsia="zh-CN" w:bidi="ar-SA"/>
        </w:rPr>
      </w:pPr>
      <w:bookmarkStart w:id="0" w:name="_GoBack"/>
      <w:bookmarkEnd w:id="0"/>
      <w:r>
        <w:rPr>
          <w:rFonts w:hint="eastAsia" w:ascii="仿宋" w:hAnsi="仿宋" w:eastAsia="仿宋" w:cs="仿宋"/>
          <w:b w:val="0"/>
          <w:bCs w:val="0"/>
          <w:kern w:val="2"/>
          <w:sz w:val="24"/>
          <w:szCs w:val="28"/>
          <w:lang w:val="en-US" w:eastAsia="zh-CN" w:bidi="ar-SA"/>
        </w:rPr>
        <w:t>（四）户外实践课</w:t>
      </w:r>
    </w:p>
    <w:p w14:paraId="184F3710">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项目期间将组织学生进入珀斯市区及周边区域开展实地调研与文化探索活动，地点包括地标式建筑伊丽莎白港、充满艺术气息的弗里曼特尔等。</w:t>
      </w:r>
    </w:p>
    <w:p w14:paraId="68C221F9">
      <w:pPr>
        <w:keepNext w:val="0"/>
        <w:keepLines w:val="0"/>
        <w:pageBreakBefore w:val="0"/>
        <w:widowControl/>
        <w:kinsoku/>
        <w:wordWrap/>
        <w:overflowPunct/>
        <w:topLinePunct w:val="0"/>
        <w:autoSpaceDE/>
        <w:autoSpaceDN/>
        <w:bidi w:val="0"/>
        <w:adjustRightInd/>
        <w:snapToGrid/>
        <w:spacing w:after="157" w:afterLines="50" w:line="360" w:lineRule="auto"/>
        <w:textAlignment w:val="auto"/>
        <w:rPr>
          <w:rFonts w:hint="eastAsia" w:ascii="仿宋" w:hAnsi="仿宋" w:eastAsia="仿宋" w:cs="仿宋"/>
          <w:sz w:val="24"/>
          <w:szCs w:val="28"/>
          <w:lang w:val="en-US" w:eastAsia="zh-CN"/>
        </w:rPr>
      </w:pPr>
      <w:r>
        <w:rPr>
          <w:rFonts w:hint="eastAsia" w:ascii="仿宋" w:hAnsi="仿宋" w:eastAsia="仿宋" w:cs="仿宋"/>
          <w:sz w:val="24"/>
          <w:szCs w:val="28"/>
          <w:lang w:val="en-US" w:eastAsia="zh-CN"/>
        </w:rPr>
        <w:t xml:space="preserve">*以上课程、行程内容可能根据需要进行一定的微调。 </w:t>
      </w:r>
    </w:p>
    <w:p w14:paraId="5DDBFAA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sz w:val="24"/>
          <w:szCs w:val="28"/>
          <w:lang w:val="en-US" w:eastAsia="zh-CN"/>
        </w:rPr>
        <w:t>（五）</w:t>
      </w:r>
      <w:r>
        <w:rPr>
          <w:rFonts w:hint="eastAsia" w:ascii="仿宋" w:hAnsi="仿宋" w:eastAsia="仿宋" w:cs="仿宋"/>
          <w:b w:val="0"/>
          <w:bCs w:val="0"/>
          <w:kern w:val="2"/>
          <w:sz w:val="24"/>
          <w:szCs w:val="28"/>
          <w:lang w:val="en-US" w:eastAsia="zh-CN" w:bidi="ar-SA"/>
        </w:rPr>
        <w:t>自费选配：悉尼社会文化考察（7天6晚）</w:t>
      </w:r>
    </w:p>
    <w:p w14:paraId="64BA412C">
      <w:pPr>
        <w:numPr>
          <w:ilvl w:val="0"/>
          <w:numId w:val="0"/>
        </w:numPr>
        <w:spacing w:line="360" w:lineRule="auto"/>
        <w:ind w:leftChars="0" w:right="0" w:rightChars="0"/>
        <w:rPr>
          <w:rFonts w:hint="default" w:ascii="仿宋" w:hAnsi="仿宋" w:eastAsia="仿宋" w:cs="仿宋"/>
          <w:sz w:val="24"/>
          <w:szCs w:val="28"/>
          <w:lang w:val="en-US" w:eastAsia="zh-CN"/>
        </w:rPr>
      </w:pPr>
      <w:r>
        <w:rPr>
          <w:rFonts w:hint="eastAsia" w:ascii="仿宋" w:hAnsi="仿宋" w:eastAsia="仿宋" w:cs="仿宋"/>
          <w:sz w:val="24"/>
          <w:szCs w:val="24"/>
          <w:lang w:val="en-US" w:eastAsia="zh-CN"/>
        </w:rPr>
        <w:t>课程结束后，学生可选择从珀斯飞往悉尼进行为期7天6晚的悉尼社会文化考察。拟访问高校为悉尼大学、新南威尔士大学等；赴悉尼歌剧院、鱼市场、蓝山、邦迪海滩、圣玛丽大教堂等地进行实地考察，期间举办澳洲特色BBQ等活动。丰富多彩的活动使学生尽可能了解澳洲高等教育、人文景观、产业经济等，提升访学价值。</w:t>
      </w:r>
    </w:p>
    <w:p w14:paraId="6FF2250E">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bCs/>
          <w:kern w:val="2"/>
          <w:sz w:val="24"/>
          <w:szCs w:val="28"/>
          <w:lang w:val="en-US" w:eastAsia="zh-CN" w:bidi="ar-SA"/>
        </w:rPr>
        <w:t>4.项目收获：</w:t>
      </w:r>
      <w:r>
        <w:rPr>
          <w:rFonts w:hint="eastAsia" w:ascii="仿宋" w:hAnsi="仿宋" w:eastAsia="仿宋" w:cs="仿宋"/>
          <w:b w:val="0"/>
          <w:bCs w:val="0"/>
          <w:kern w:val="2"/>
          <w:sz w:val="24"/>
          <w:szCs w:val="28"/>
          <w:lang w:val="en-US" w:eastAsia="zh-CN" w:bidi="ar-SA"/>
        </w:rPr>
        <w:t>学生完成项目后，将获得西澳大学颁发的</w:t>
      </w:r>
      <w:r>
        <w:rPr>
          <w:rFonts w:hint="eastAsia" w:ascii="仿宋" w:hAnsi="仿宋" w:eastAsia="仿宋" w:cs="仿宋"/>
          <w:b/>
          <w:bCs/>
          <w:kern w:val="2"/>
          <w:sz w:val="24"/>
          <w:szCs w:val="28"/>
          <w:lang w:val="en-US" w:eastAsia="zh-CN" w:bidi="ar-SA"/>
        </w:rPr>
        <w:t>项目结业证书</w:t>
      </w:r>
      <w:r>
        <w:rPr>
          <w:rFonts w:hint="eastAsia" w:ascii="仿宋" w:hAnsi="仿宋" w:eastAsia="仿宋" w:cs="仿宋"/>
          <w:b w:val="0"/>
          <w:bCs w:val="0"/>
          <w:kern w:val="2"/>
          <w:sz w:val="24"/>
          <w:szCs w:val="28"/>
          <w:lang w:val="en-US" w:eastAsia="zh-CN" w:bidi="ar-SA"/>
        </w:rPr>
        <w:t>。</w:t>
      </w:r>
    </w:p>
    <w:p w14:paraId="6C3D47EF">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kern w:val="2"/>
          <w:sz w:val="24"/>
          <w:szCs w:val="28"/>
          <w:lang w:val="en-US" w:eastAsia="zh-CN" w:bidi="ar-SA"/>
        </w:rPr>
      </w:pPr>
      <w:r>
        <w:rPr>
          <w:rFonts w:hint="eastAsia" w:ascii="仿宋" w:hAnsi="仿宋" w:eastAsia="仿宋" w:cs="仿宋"/>
          <w:b/>
          <w:bCs/>
          <w:kern w:val="2"/>
          <w:sz w:val="24"/>
          <w:szCs w:val="28"/>
          <w:lang w:val="en-US" w:eastAsia="zh-CN" w:bidi="ar-SA"/>
        </w:rPr>
        <w:t>5.</w:t>
      </w:r>
      <w:r>
        <w:rPr>
          <w:rFonts w:hint="default" w:ascii="仿宋" w:hAnsi="仿宋" w:eastAsia="仿宋" w:cs="仿宋"/>
          <w:b/>
          <w:bCs/>
          <w:kern w:val="2"/>
          <w:sz w:val="24"/>
          <w:szCs w:val="28"/>
          <w:lang w:val="en-US" w:eastAsia="zh-CN" w:bidi="ar-SA"/>
        </w:rPr>
        <w:t>住宿安排</w:t>
      </w:r>
      <w:r>
        <w:rPr>
          <w:rFonts w:hint="eastAsia" w:ascii="仿宋" w:hAnsi="仿宋" w:eastAsia="仿宋" w:cs="仿宋"/>
          <w:b/>
          <w:bCs/>
          <w:kern w:val="2"/>
          <w:sz w:val="24"/>
          <w:szCs w:val="28"/>
          <w:lang w:val="en-US" w:eastAsia="zh-CN" w:bidi="ar-SA"/>
        </w:rPr>
        <w:t>：</w:t>
      </w:r>
      <w:r>
        <w:rPr>
          <w:rFonts w:hint="eastAsia" w:ascii="仿宋" w:hAnsi="仿宋" w:eastAsia="仿宋" w:cs="仿宋"/>
          <w:b w:val="0"/>
          <w:bCs w:val="0"/>
          <w:kern w:val="2"/>
          <w:sz w:val="24"/>
          <w:szCs w:val="28"/>
          <w:lang w:val="en-US" w:eastAsia="zh-CN" w:bidi="ar-SA"/>
        </w:rPr>
        <w:t>拟安排入住</w:t>
      </w:r>
      <w:r>
        <w:rPr>
          <w:rFonts w:hint="default" w:ascii="仿宋" w:hAnsi="仿宋" w:eastAsia="仿宋" w:cs="仿宋"/>
          <w:b w:val="0"/>
          <w:bCs w:val="0"/>
          <w:kern w:val="2"/>
          <w:sz w:val="24"/>
          <w:szCs w:val="28"/>
          <w:lang w:val="en-US" w:eastAsia="zh-CN" w:bidi="ar-SA"/>
        </w:rPr>
        <w:t>酒店</w:t>
      </w:r>
      <w:r>
        <w:rPr>
          <w:rFonts w:hint="eastAsia" w:ascii="仿宋" w:hAnsi="仿宋" w:eastAsia="仿宋" w:cs="仿宋"/>
          <w:b w:val="0"/>
          <w:bCs w:val="0"/>
          <w:kern w:val="2"/>
          <w:sz w:val="24"/>
          <w:szCs w:val="28"/>
          <w:lang w:val="en-US" w:eastAsia="zh-CN" w:bidi="ar-SA"/>
        </w:rPr>
        <w:t>，默认四人套间，往期配置有舒适的会客区，设施齐全的厨房区，方便快捷的洗衣房（含洗衣机、烘干机）、配备有WIFI、空调、吹风机、毛巾和浴巾等。如果学生交费时酒店已满员，则调整到其他酒店或公寓，设施可能不同。</w:t>
      </w:r>
    </w:p>
    <w:p w14:paraId="11007E40">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仿宋" w:hAnsi="仿宋" w:eastAsia="仿宋" w:cs="仿宋"/>
          <w:b/>
          <w:bCs/>
          <w:kern w:val="2"/>
          <w:sz w:val="28"/>
          <w:szCs w:val="32"/>
          <w:lang w:val="en-US" w:eastAsia="zh-CN"/>
        </w:rPr>
      </w:pPr>
      <w:r>
        <w:rPr>
          <w:rFonts w:hint="eastAsia" w:ascii="仿宋" w:hAnsi="仿宋" w:eastAsia="仿宋" w:cs="仿宋"/>
          <w:b/>
          <w:bCs/>
          <w:kern w:val="2"/>
          <w:sz w:val="28"/>
          <w:szCs w:val="32"/>
          <w:lang w:val="en-US" w:eastAsia="zh-CN"/>
        </w:rPr>
        <w:t>三</w:t>
      </w:r>
      <w:r>
        <w:rPr>
          <w:rFonts w:hint="default" w:ascii="仿宋" w:hAnsi="仿宋" w:eastAsia="仿宋" w:cs="仿宋"/>
          <w:b/>
          <w:bCs/>
          <w:kern w:val="2"/>
          <w:sz w:val="28"/>
          <w:szCs w:val="32"/>
          <w:lang w:val="en-US" w:eastAsia="zh-CN"/>
        </w:rPr>
        <w:t>、</w:t>
      </w:r>
      <w:r>
        <w:rPr>
          <w:rFonts w:hint="eastAsia" w:ascii="仿宋" w:hAnsi="仿宋" w:eastAsia="仿宋" w:cs="仿宋"/>
          <w:b/>
          <w:bCs/>
          <w:kern w:val="2"/>
          <w:sz w:val="28"/>
          <w:szCs w:val="32"/>
          <w:lang w:val="en-US" w:eastAsia="zh-CN"/>
        </w:rPr>
        <w:t>费用说明</w:t>
      </w:r>
    </w:p>
    <w:p w14:paraId="7939225A">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rPr>
          <w:rFonts w:hint="default" w:ascii="仿宋" w:hAnsi="仿宋" w:eastAsia="仿宋" w:cs="仿宋"/>
          <w:b/>
          <w:bCs/>
          <w:kern w:val="2"/>
          <w:sz w:val="24"/>
          <w:szCs w:val="28"/>
          <w:highlight w:val="none"/>
          <w:lang w:val="en-US" w:eastAsia="zh-CN" w:bidi="ar-SA"/>
        </w:rPr>
      </w:pPr>
      <w:r>
        <w:rPr>
          <w:rFonts w:hint="eastAsia" w:ascii="仿宋" w:hAnsi="仿宋" w:eastAsia="仿宋" w:cs="仿宋"/>
          <w:b w:val="0"/>
          <w:bCs w:val="0"/>
          <w:kern w:val="2"/>
          <w:sz w:val="24"/>
          <w:szCs w:val="28"/>
          <w:highlight w:val="none"/>
          <w:lang w:val="en-US" w:eastAsia="zh-CN" w:bidi="ar-SA"/>
        </w:rPr>
        <w:t>1.批判性思维与人工智能项目费用：</w:t>
      </w:r>
      <w:r>
        <w:rPr>
          <w:rFonts w:hint="eastAsia" w:ascii="仿宋" w:hAnsi="仿宋" w:eastAsia="仿宋" w:cs="仿宋"/>
          <w:b/>
          <w:bCs/>
          <w:kern w:val="2"/>
          <w:sz w:val="24"/>
          <w:szCs w:val="28"/>
          <w:highlight w:val="none"/>
          <w:lang w:val="en-US" w:eastAsia="zh-CN" w:bidi="ar-SA"/>
        </w:rPr>
        <w:t>3380澳元，约1.63元人民币，根据汇率浮动。</w:t>
      </w:r>
    </w:p>
    <w:p w14:paraId="6B672ACE">
      <w:pPr>
        <w:pStyle w:val="2"/>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以上费用包含学费、活动课费用、项目管理服务费、住宿及统一接送机费用；不含国际往返机票、签证费、境外保险费和个人消费。</w:t>
      </w:r>
    </w:p>
    <w:p w14:paraId="7FFA01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bCs/>
          <w:kern w:val="2"/>
          <w:sz w:val="24"/>
          <w:szCs w:val="28"/>
          <w:highlight w:val="none"/>
          <w:lang w:val="en-US" w:eastAsia="zh-CN" w:bidi="ar-SA"/>
        </w:rPr>
      </w:pPr>
      <w:r>
        <w:rPr>
          <w:rFonts w:hint="eastAsia" w:ascii="仿宋" w:hAnsi="仿宋" w:eastAsia="仿宋" w:cs="仿宋"/>
          <w:b w:val="0"/>
          <w:bCs w:val="0"/>
          <w:kern w:val="2"/>
          <w:sz w:val="24"/>
          <w:szCs w:val="28"/>
          <w:highlight w:val="none"/>
          <w:lang w:val="en-US" w:eastAsia="zh-CN" w:bidi="ar-SA"/>
        </w:rPr>
        <w:t>2.悉尼社会文化考察（7天6晚，可选项）费用：</w:t>
      </w:r>
      <w:r>
        <w:rPr>
          <w:rFonts w:hint="eastAsia" w:ascii="仿宋" w:hAnsi="仿宋" w:eastAsia="仿宋" w:cs="仿宋"/>
          <w:b/>
          <w:bCs/>
          <w:kern w:val="2"/>
          <w:sz w:val="24"/>
          <w:szCs w:val="28"/>
          <w:highlight w:val="none"/>
          <w:lang w:val="en-US" w:eastAsia="zh-CN" w:bidi="ar-SA"/>
        </w:rPr>
        <w:t>2750澳元，约1.32万元人民币，根据汇率浮动。</w:t>
      </w:r>
    </w:p>
    <w:p w14:paraId="5F9D83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lang w:val="en-US" w:eastAsia="zh-CN"/>
        </w:rPr>
        <w:t>包含</w:t>
      </w:r>
      <w:r>
        <w:rPr>
          <w:rFonts w:hint="eastAsia" w:ascii="仿宋" w:hAnsi="仿宋" w:eastAsia="仿宋" w:cs="仿宋"/>
          <w:sz w:val="24"/>
          <w:szCs w:val="24"/>
          <w:highlight w:val="none"/>
          <w:lang w:val="en-US" w:eastAsia="zh-CN"/>
        </w:rPr>
        <w:t>珀斯</w:t>
      </w:r>
      <w:r>
        <w:rPr>
          <w:rFonts w:hint="eastAsia" w:ascii="仿宋" w:hAnsi="仿宋" w:eastAsia="仿宋" w:cs="仿宋"/>
          <w:sz w:val="24"/>
          <w:szCs w:val="24"/>
          <w:lang w:val="en-US" w:eastAsia="zh-CN"/>
        </w:rPr>
        <w:t>-悉尼机票费、住宿（含早餐）、统一交通、导游、行程内包含的考察景点门票。</w:t>
      </w:r>
    </w:p>
    <w:p w14:paraId="36612CB9">
      <w:pPr>
        <w:keepNext w:val="0"/>
        <w:keepLines w:val="0"/>
        <w:pageBreakBefore w:val="0"/>
        <w:widowControl/>
        <w:kinsoku/>
        <w:wordWrap/>
        <w:overflowPunct/>
        <w:topLinePunct w:val="0"/>
        <w:autoSpaceDE/>
        <w:autoSpaceDN/>
        <w:bidi w:val="0"/>
        <w:adjustRightInd/>
        <w:snapToGrid/>
        <w:spacing w:after="0" w:line="360" w:lineRule="auto"/>
        <w:jc w:val="left"/>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3.</w:t>
      </w:r>
      <w:r>
        <w:rPr>
          <w:rFonts w:hint="eastAsia" w:ascii="仿宋" w:hAnsi="仿宋" w:eastAsia="仿宋" w:cs="仿宋"/>
          <w:b/>
          <w:bCs/>
          <w:sz w:val="24"/>
          <w:szCs w:val="24"/>
          <w:lang w:eastAsia="zh-CN"/>
        </w:rPr>
        <w:t>其余费用参考：</w:t>
      </w:r>
    </w:p>
    <w:p w14:paraId="436DE7BB">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国际往返机票：往期价格约6000元人民币，具体以航司官网为准</w:t>
      </w:r>
    </w:p>
    <w:p w14:paraId="613E3127">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hint="default" w:ascii="仿宋" w:hAnsi="仿宋" w:eastAsia="仿宋" w:cs="仿宋"/>
          <w:b w:val="0"/>
          <w:bCs w:val="0"/>
          <w:kern w:val="2"/>
          <w:sz w:val="24"/>
          <w:szCs w:val="28"/>
          <w:lang w:val="en-US" w:eastAsia="zh-CN" w:bidi="ar-SA"/>
        </w:rPr>
      </w:pPr>
      <w:r>
        <w:rPr>
          <w:rFonts w:hint="eastAsia" w:ascii="仿宋" w:hAnsi="仿宋" w:eastAsia="仿宋" w:cs="仿宋"/>
          <w:kern w:val="0"/>
          <w:sz w:val="24"/>
          <w:szCs w:val="24"/>
          <w:lang w:val="en-US" w:eastAsia="zh-CN"/>
        </w:rPr>
        <w:t>签证及第三方专业机构代办费</w:t>
      </w:r>
      <w:r>
        <w:rPr>
          <w:rFonts w:hint="eastAsia" w:ascii="仿宋" w:hAnsi="仿宋" w:eastAsia="仿宋" w:cs="仿宋"/>
          <w:b w:val="0"/>
          <w:bCs w:val="0"/>
          <w:kern w:val="2"/>
          <w:sz w:val="24"/>
          <w:szCs w:val="28"/>
          <w:lang w:val="en-US" w:eastAsia="zh-CN" w:bidi="ar-SA"/>
        </w:rPr>
        <w:t>：1270元</w:t>
      </w:r>
      <w:r>
        <w:rPr>
          <w:rFonts w:hint="eastAsia" w:ascii="仿宋" w:hAnsi="仿宋" w:eastAsia="仿宋" w:cs="仿宋"/>
          <w:sz w:val="24"/>
          <w:szCs w:val="28"/>
        </w:rPr>
        <w:t>人民币</w:t>
      </w:r>
    </w:p>
    <w:p w14:paraId="7EAE6B35">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境外保险：约350元人民币</w:t>
      </w:r>
    </w:p>
    <w:p w14:paraId="183D84EC">
      <w:pPr>
        <w:keepNext w:val="0"/>
        <w:keepLines w:val="0"/>
        <w:pageBreakBefore w:val="0"/>
        <w:widowControl w:val="0"/>
        <w:kinsoku/>
        <w:wordWrap/>
        <w:overflowPunct/>
        <w:topLinePunct w:val="0"/>
        <w:autoSpaceDE/>
        <w:autoSpaceDN/>
        <w:bidi w:val="0"/>
        <w:adjustRightInd/>
        <w:snapToGrid/>
        <w:spacing w:after="157" w:afterLines="50" w:line="360" w:lineRule="auto"/>
        <w:jc w:val="both"/>
        <w:textAlignment w:val="auto"/>
        <w:rPr>
          <w:rFonts w:hint="default" w:ascii="仿宋" w:hAnsi="仿宋" w:eastAsia="仿宋" w:cs="仿宋"/>
          <w:b/>
          <w:bCs/>
          <w:kern w:val="2"/>
          <w:sz w:val="28"/>
          <w:szCs w:val="32"/>
          <w:lang w:val="en-US" w:eastAsia="zh-CN"/>
        </w:rPr>
      </w:pPr>
      <w:r>
        <w:rPr>
          <w:rFonts w:hint="eastAsia" w:ascii="仿宋" w:hAnsi="仿宋" w:eastAsia="仿宋" w:cs="仿宋"/>
          <w:b w:val="0"/>
          <w:bCs w:val="0"/>
          <w:kern w:val="2"/>
          <w:sz w:val="24"/>
          <w:szCs w:val="28"/>
          <w:lang w:val="en-US" w:eastAsia="zh-CN" w:bidi="ar-SA"/>
        </w:rPr>
        <w:t>澳洲餐费：约15-20澳元/餐</w:t>
      </w:r>
    </w:p>
    <w:p w14:paraId="3C57D903">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仿宋" w:hAnsi="仿宋" w:eastAsia="仿宋" w:cs="仿宋"/>
          <w:b/>
          <w:bCs/>
          <w:kern w:val="2"/>
          <w:sz w:val="28"/>
          <w:szCs w:val="32"/>
          <w:lang w:val="en-US" w:eastAsia="zh-CN"/>
        </w:rPr>
      </w:pPr>
      <w:r>
        <w:rPr>
          <w:rFonts w:hint="eastAsia" w:ascii="仿宋" w:hAnsi="仿宋" w:eastAsia="仿宋" w:cs="仿宋"/>
          <w:b/>
          <w:bCs/>
          <w:kern w:val="2"/>
          <w:sz w:val="28"/>
          <w:szCs w:val="32"/>
          <w:lang w:val="en-US" w:eastAsia="zh-CN"/>
        </w:rPr>
        <w:t>四、</w:t>
      </w:r>
      <w:r>
        <w:rPr>
          <w:rFonts w:hint="default" w:ascii="仿宋" w:hAnsi="仿宋" w:eastAsia="仿宋" w:cs="仿宋"/>
          <w:b/>
          <w:bCs/>
          <w:kern w:val="2"/>
          <w:sz w:val="28"/>
          <w:szCs w:val="32"/>
          <w:lang w:val="en-US" w:eastAsia="zh-CN"/>
        </w:rPr>
        <w:t>申请条件</w:t>
      </w:r>
    </w:p>
    <w:p w14:paraId="5CBD7222">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rPr>
          <w:rFonts w:hint="default" w:ascii="仿宋" w:hAnsi="仿宋" w:eastAsia="仿宋" w:cs="仿宋"/>
          <w:b w:val="0"/>
          <w:bCs w:val="0"/>
          <w:kern w:val="2"/>
          <w:sz w:val="24"/>
          <w:szCs w:val="28"/>
          <w:lang w:val="en-US" w:eastAsia="zh-CN" w:bidi="ar-SA"/>
        </w:rPr>
      </w:pPr>
      <w:r>
        <w:rPr>
          <w:rFonts w:hint="default" w:ascii="仿宋" w:hAnsi="仿宋" w:eastAsia="仿宋" w:cs="仿宋"/>
          <w:b w:val="0"/>
          <w:bCs w:val="0"/>
          <w:kern w:val="2"/>
          <w:sz w:val="24"/>
          <w:szCs w:val="28"/>
          <w:lang w:val="en-US" w:eastAsia="zh-CN" w:bidi="ar-SA"/>
        </w:rPr>
        <w:t>1.全日制本科生、研究生，须年满18周岁；</w:t>
      </w:r>
    </w:p>
    <w:p w14:paraId="233F1791">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rPr>
          <w:rFonts w:hint="default"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2.</w:t>
      </w:r>
      <w:r>
        <w:rPr>
          <w:rFonts w:hint="default" w:ascii="仿宋" w:hAnsi="仿宋" w:eastAsia="仿宋" w:cs="仿宋"/>
          <w:b w:val="0"/>
          <w:bCs w:val="0"/>
          <w:kern w:val="2"/>
          <w:sz w:val="24"/>
          <w:szCs w:val="28"/>
          <w:lang w:val="en-US" w:eastAsia="zh-CN" w:bidi="ar-SA"/>
        </w:rPr>
        <w:t>英语要求：</w:t>
      </w:r>
      <w:r>
        <w:rPr>
          <w:rFonts w:hint="eastAsia" w:ascii="仿宋" w:hAnsi="仿宋" w:eastAsia="仿宋" w:cs="仿宋"/>
          <w:sz w:val="24"/>
          <w:szCs w:val="28"/>
        </w:rPr>
        <w:t>通过项目方中英文线上面试</w:t>
      </w:r>
      <w:r>
        <w:rPr>
          <w:rFonts w:hint="eastAsia" w:ascii="仿宋" w:hAnsi="仿宋" w:eastAsia="仿宋" w:cs="仿宋"/>
          <w:sz w:val="24"/>
          <w:szCs w:val="28"/>
          <w:lang w:eastAsia="zh-CN"/>
        </w:rPr>
        <w:t>，</w:t>
      </w:r>
      <w:r>
        <w:rPr>
          <w:rFonts w:hint="default" w:ascii="仿宋" w:hAnsi="仿宋" w:eastAsia="仿宋" w:cs="仿宋"/>
          <w:b w:val="0"/>
          <w:bCs w:val="0"/>
          <w:kern w:val="2"/>
          <w:sz w:val="24"/>
          <w:szCs w:val="28"/>
          <w:lang w:val="en-US" w:eastAsia="zh-CN" w:bidi="ar-SA"/>
        </w:rPr>
        <w:t>熟练掌握英语听、说、读、写；</w:t>
      </w:r>
    </w:p>
    <w:p w14:paraId="29DBC12C">
      <w:pPr>
        <w:pStyle w:val="2"/>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Chars="0"/>
        <w:textAlignment w:val="auto"/>
        <w:rPr>
          <w:rFonts w:hint="default"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3.</w:t>
      </w:r>
      <w:r>
        <w:rPr>
          <w:rFonts w:hint="eastAsia" w:ascii="仿宋" w:hAnsi="仿宋" w:eastAsia="仿宋" w:cs="仿宋"/>
          <w:sz w:val="24"/>
          <w:szCs w:val="24"/>
          <w:lang w:val="en-US" w:eastAsia="zh-CN"/>
        </w:rPr>
        <w:t>身心健康，无重大疾病或不适宜出国交流的健康状况；</w:t>
      </w:r>
    </w:p>
    <w:p w14:paraId="15945E1D">
      <w:pPr>
        <w:pStyle w:val="2"/>
        <w:keepNext w:val="0"/>
        <w:keepLines w:val="0"/>
        <w:pageBreakBefore w:val="0"/>
        <w:widowControl/>
        <w:numPr>
          <w:ilvl w:val="0"/>
          <w:numId w:val="0"/>
        </w:numPr>
        <w:kinsoku/>
        <w:wordWrap/>
        <w:overflowPunct/>
        <w:topLinePunct w:val="0"/>
        <w:autoSpaceDE/>
        <w:autoSpaceDN/>
        <w:bidi w:val="0"/>
        <w:adjustRightInd/>
        <w:snapToGrid/>
        <w:spacing w:after="157" w:afterLines="50"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b w:val="0"/>
          <w:bCs w:val="0"/>
          <w:kern w:val="2"/>
          <w:sz w:val="24"/>
          <w:szCs w:val="28"/>
          <w:lang w:val="en-US" w:eastAsia="zh-CN" w:bidi="ar-SA"/>
        </w:rPr>
        <w:t>4</w:t>
      </w:r>
      <w:r>
        <w:rPr>
          <w:rFonts w:hint="default" w:ascii="仿宋" w:hAnsi="仿宋" w:eastAsia="仿宋" w:cs="仿宋"/>
          <w:b w:val="0"/>
          <w:bCs w:val="0"/>
          <w:kern w:val="2"/>
          <w:sz w:val="24"/>
          <w:szCs w:val="28"/>
          <w:lang w:val="en-US" w:eastAsia="zh-CN" w:bidi="ar-SA"/>
        </w:rPr>
        <w:t>.遵纪守法，自觉维护国家形象和学校名誉。</w:t>
      </w:r>
    </w:p>
    <w:p w14:paraId="31C1B65D">
      <w:pPr>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default" w:ascii="仿宋" w:hAnsi="仿宋" w:eastAsia="仿宋" w:cs="仿宋"/>
          <w:b/>
          <w:bCs/>
          <w:kern w:val="2"/>
          <w:sz w:val="28"/>
          <w:szCs w:val="32"/>
          <w:lang w:val="en-US" w:eastAsia="zh-CN"/>
        </w:rPr>
      </w:pPr>
      <w:r>
        <w:rPr>
          <w:rFonts w:hint="eastAsia" w:ascii="仿宋" w:hAnsi="仿宋" w:eastAsia="仿宋" w:cs="仿宋"/>
          <w:b/>
          <w:bCs/>
          <w:kern w:val="2"/>
          <w:sz w:val="28"/>
          <w:szCs w:val="32"/>
          <w:lang w:val="en-US" w:eastAsia="zh-CN"/>
        </w:rPr>
        <w:t>五、报名与咨询方式</w:t>
      </w:r>
    </w:p>
    <w:p w14:paraId="6D3342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1.按学校要求填写校内报名表。</w:t>
      </w:r>
    </w:p>
    <w:p w14:paraId="0133A662">
      <w:pPr>
        <w:keepNext w:val="0"/>
        <w:keepLines w:val="0"/>
        <w:pageBreakBefore w:val="0"/>
        <w:widowControl w:val="0"/>
        <w:kinsoku/>
        <w:wordWrap/>
        <w:overflowPunct/>
        <w:topLinePunct w:val="0"/>
        <w:autoSpaceDE/>
        <w:autoSpaceDN/>
        <w:bidi w:val="0"/>
        <w:adjustRightInd/>
        <w:snapToGrid/>
        <w:spacing w:after="120" w:line="360" w:lineRule="auto"/>
        <w:textAlignment w:val="auto"/>
        <w:rPr>
          <w:rFonts w:hint="eastAsia" w:ascii="仿宋" w:hAnsi="仿宋" w:eastAsia="仿宋" w:cs="仿宋"/>
          <w:sz w:val="24"/>
          <w:szCs w:val="28"/>
        </w:rPr>
      </w:pPr>
      <w:r>
        <w:rPr>
          <w:rFonts w:hint="eastAsia" w:ascii="仿宋" w:hAnsi="仿宋" w:eastAsia="仿宋" w:cs="仿宋"/>
          <w:sz w:val="24"/>
          <w:szCs w:val="28"/>
        </w:rPr>
        <w:t>2.</w:t>
      </w:r>
      <w:r>
        <w:rPr>
          <w:rFonts w:hint="eastAsia" w:ascii="仿宋" w:hAnsi="仿宋" w:eastAsia="仿宋" w:cs="仿宋"/>
          <w:b w:val="0"/>
          <w:bCs w:val="0"/>
          <w:color w:val="000000" w:themeColor="text1"/>
          <w:sz w:val="24"/>
          <w:szCs w:val="24"/>
          <w14:textFill>
            <w14:solidFill>
              <w14:schemeClr w14:val="tx1"/>
            </w14:solidFill>
          </w14:textFill>
        </w:rPr>
        <w:t>打开链接</w:t>
      </w:r>
      <w:r>
        <w:rPr>
          <w:rFonts w:hint="eastAsia" w:ascii="仿宋" w:hAnsi="仿宋" w:eastAsia="仿宋" w:cs="仿宋"/>
          <w:sz w:val="24"/>
          <w:szCs w:val="28"/>
        </w:rPr>
        <w:t>：</w:t>
      </w:r>
      <w:r>
        <w:rPr>
          <w:rFonts w:hint="eastAsia" w:ascii="仿宋" w:hAnsi="仿宋" w:eastAsia="仿宋" w:cs="仿宋"/>
          <w:sz w:val="24"/>
          <w:szCs w:val="28"/>
        </w:rPr>
        <w:fldChar w:fldCharType="begin"/>
      </w:r>
      <w:r>
        <w:rPr>
          <w:rFonts w:hint="eastAsia" w:ascii="仿宋" w:hAnsi="仿宋" w:eastAsia="仿宋" w:cs="仿宋"/>
          <w:sz w:val="24"/>
          <w:szCs w:val="28"/>
        </w:rPr>
        <w:instrText xml:space="preserve"> HYPERLINK "https://jsj.top/f/m1JuVF" </w:instrText>
      </w:r>
      <w:r>
        <w:rPr>
          <w:rFonts w:hint="eastAsia" w:ascii="仿宋" w:hAnsi="仿宋" w:eastAsia="仿宋" w:cs="仿宋"/>
          <w:sz w:val="24"/>
          <w:szCs w:val="28"/>
        </w:rPr>
        <w:fldChar w:fldCharType="separate"/>
      </w:r>
      <w:r>
        <w:rPr>
          <w:rStyle w:val="13"/>
          <w:rFonts w:hint="eastAsia" w:ascii="仿宋" w:hAnsi="仿宋" w:eastAsia="仿宋" w:cs="仿宋"/>
          <w:sz w:val="24"/>
          <w:szCs w:val="28"/>
        </w:rPr>
        <w:t>https://jsj.top/f/m1JuVF</w:t>
      </w:r>
      <w:r>
        <w:rPr>
          <w:rFonts w:hint="eastAsia" w:ascii="仿宋" w:hAnsi="仿宋" w:eastAsia="仿宋" w:cs="仿宋"/>
          <w:sz w:val="24"/>
          <w:szCs w:val="28"/>
        </w:rPr>
        <w:fldChar w:fldCharType="end"/>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sz w:val="24"/>
          <w:szCs w:val="28"/>
        </w:rPr>
        <w:t>填写项目主办方报名表；</w:t>
      </w:r>
    </w:p>
    <w:p w14:paraId="5E828D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28"/>
        </w:rPr>
      </w:pPr>
      <w:r>
        <w:rPr>
          <w:rFonts w:hint="eastAsia" w:ascii="仿宋" w:hAnsi="仿宋" w:eastAsia="仿宋" w:cs="仿宋"/>
          <w:sz w:val="24"/>
          <w:szCs w:val="28"/>
          <w:lang w:val="en-US" w:eastAsia="zh-CN"/>
        </w:rPr>
        <w:t>3.</w:t>
      </w:r>
      <w:r>
        <w:rPr>
          <w:rFonts w:hint="eastAsia" w:ascii="仿宋" w:hAnsi="仿宋" w:eastAsia="仿宋" w:cs="仿宋"/>
          <w:sz w:val="24"/>
          <w:szCs w:val="28"/>
        </w:rPr>
        <w:t>面试</w:t>
      </w:r>
      <w:r>
        <w:rPr>
          <w:rFonts w:hint="eastAsia" w:ascii="仿宋" w:hAnsi="仿宋" w:eastAsia="仿宋" w:cs="仿宋"/>
          <w:sz w:val="24"/>
          <w:szCs w:val="28"/>
          <w:lang w:val="en-US" w:eastAsia="zh-CN"/>
        </w:rPr>
        <w:t>链接</w:t>
      </w:r>
      <w:r>
        <w:rPr>
          <w:rFonts w:hint="eastAsia" w:ascii="仿宋" w:hAnsi="仿宋" w:eastAsia="仿宋" w:cs="仿宋"/>
          <w:sz w:val="24"/>
          <w:szCs w:val="28"/>
        </w:rPr>
        <w:t>：</w:t>
      </w:r>
      <w:r>
        <w:rPr>
          <w:rFonts w:hint="eastAsia" w:ascii="仿宋" w:hAnsi="仿宋" w:eastAsia="仿宋" w:cs="仿宋"/>
          <w:sz w:val="24"/>
          <w:szCs w:val="28"/>
        </w:rPr>
        <w:fldChar w:fldCharType="begin"/>
      </w:r>
      <w:r>
        <w:rPr>
          <w:rFonts w:hint="eastAsia" w:ascii="仿宋" w:hAnsi="仿宋" w:eastAsia="仿宋" w:cs="仿宋"/>
          <w:sz w:val="24"/>
          <w:szCs w:val="28"/>
        </w:rPr>
        <w:instrText xml:space="preserve"> HYPERLINK "https://jsj.top/f/lw5gOj" </w:instrText>
      </w:r>
      <w:r>
        <w:rPr>
          <w:rFonts w:hint="eastAsia" w:ascii="仿宋" w:hAnsi="仿宋" w:eastAsia="仿宋" w:cs="仿宋"/>
          <w:sz w:val="24"/>
          <w:szCs w:val="28"/>
        </w:rPr>
        <w:fldChar w:fldCharType="separate"/>
      </w:r>
      <w:r>
        <w:rPr>
          <w:rStyle w:val="13"/>
          <w:rFonts w:hint="eastAsia" w:ascii="仿宋" w:hAnsi="仿宋" w:eastAsia="仿宋" w:cs="仿宋"/>
          <w:sz w:val="24"/>
          <w:szCs w:val="28"/>
        </w:rPr>
        <w:t>https://jsj.top/f/lw5gOj</w:t>
      </w:r>
      <w:r>
        <w:rPr>
          <w:rFonts w:hint="eastAsia" w:ascii="仿宋" w:hAnsi="仿宋" w:eastAsia="仿宋" w:cs="仿宋"/>
          <w:sz w:val="24"/>
          <w:szCs w:val="28"/>
        </w:rPr>
        <w:fldChar w:fldCharType="end"/>
      </w:r>
      <w:r>
        <w:rPr>
          <w:rFonts w:hint="eastAsia" w:ascii="仿宋" w:hAnsi="仿宋" w:eastAsia="仿宋" w:cs="仿宋"/>
          <w:sz w:val="24"/>
          <w:szCs w:val="28"/>
          <w:lang w:eastAsia="zh-CN"/>
        </w:rPr>
        <w:t>，</w:t>
      </w:r>
      <w:r>
        <w:rPr>
          <w:rFonts w:hint="eastAsia" w:ascii="仿宋" w:hAnsi="仿宋" w:eastAsia="仿宋" w:cs="仿宋"/>
          <w:b w:val="0"/>
          <w:bCs w:val="0"/>
          <w:color w:val="000000" w:themeColor="text1"/>
          <w:sz w:val="24"/>
          <w:szCs w:val="24"/>
          <w14:textFill>
            <w14:solidFill>
              <w14:schemeClr w14:val="tx1"/>
            </w14:solidFill>
          </w14:textFill>
        </w:rPr>
        <w:t>所有报名项目的学生都要预约参加线上面试。</w:t>
      </w:r>
    </w:p>
    <w:p w14:paraId="31C62E99">
      <w:pPr>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leftChars="0"/>
        <w:textAlignment w:val="auto"/>
        <w:rPr>
          <w:rFonts w:hint="eastAsia" w:ascii="仿宋" w:hAnsi="仿宋" w:eastAsia="仿宋" w:cs="仿宋"/>
          <w:b w:val="0"/>
          <w:bCs w:val="0"/>
          <w:kern w:val="2"/>
          <w:sz w:val="24"/>
          <w:szCs w:val="28"/>
          <w:lang w:val="en-US" w:eastAsia="zh-CN" w:bidi="ar-SA"/>
        </w:rPr>
      </w:pPr>
      <w:r>
        <w:rPr>
          <w:rFonts w:hint="eastAsia" w:ascii="仿宋" w:hAnsi="仿宋" w:eastAsia="仿宋" w:cs="仿宋"/>
          <w:sz w:val="24"/>
          <w:szCs w:val="28"/>
          <w:lang w:val="en-US" w:eastAsia="zh-CN"/>
        </w:rPr>
        <w:t>4.</w:t>
      </w:r>
      <w:r>
        <w:rPr>
          <w:rFonts w:hint="eastAsia" w:ascii="仿宋" w:hAnsi="仿宋" w:eastAsia="仿宋" w:cs="仿宋"/>
          <w:sz w:val="24"/>
          <w:szCs w:val="28"/>
        </w:rPr>
        <w:t>报</w:t>
      </w:r>
      <w:r>
        <w:rPr>
          <w:rFonts w:hint="eastAsia" w:ascii="仿宋" w:hAnsi="仿宋" w:eastAsia="仿宋" w:cs="仿宋"/>
          <w:b w:val="0"/>
          <w:bCs w:val="0"/>
          <w:kern w:val="2"/>
          <w:sz w:val="24"/>
          <w:szCs w:val="28"/>
          <w:lang w:val="en-US" w:eastAsia="zh-CN" w:bidi="ar-SA"/>
        </w:rPr>
        <w:t>名截止时间：2026年5月16日</w:t>
      </w:r>
    </w:p>
    <w:p w14:paraId="12D3CD6C">
      <w:pPr>
        <w:keepNext w:val="0"/>
        <w:keepLines w:val="0"/>
        <w:pageBreakBefore w:val="0"/>
        <w:widowControl w:val="0"/>
        <w:kinsoku/>
        <w:wordWrap/>
        <w:overflowPunct/>
        <w:topLinePunct w:val="0"/>
        <w:autoSpaceDE/>
        <w:autoSpaceDN/>
        <w:bidi w:val="0"/>
        <w:adjustRightInd/>
        <w:snapToGrid/>
        <w:spacing w:after="120" w:line="360" w:lineRule="auto"/>
        <w:textAlignment w:val="auto"/>
        <w:rPr>
          <w:rFonts w:hint="eastAsia" w:ascii="仿宋" w:hAnsi="仿宋" w:eastAsia="仿宋" w:cs="仿宋"/>
          <w:sz w:val="24"/>
          <w:szCs w:val="28"/>
        </w:rPr>
      </w:pPr>
      <w:r>
        <w:rPr>
          <w:rFonts w:hint="eastAsia" w:ascii="仿宋" w:hAnsi="仿宋" w:eastAsia="仿宋" w:cs="仿宋"/>
          <w:sz w:val="24"/>
          <w:szCs w:val="28"/>
          <w:lang w:val="en-US" w:eastAsia="zh-CN"/>
        </w:rPr>
        <w:t>项目老师Wendy</w:t>
      </w:r>
      <w:r>
        <w:rPr>
          <w:rFonts w:hint="eastAsia" w:ascii="仿宋" w:hAnsi="仿宋" w:eastAsia="仿宋" w:cs="仿宋"/>
          <w:sz w:val="24"/>
          <w:szCs w:val="28"/>
        </w:rPr>
        <w:t>：13059106109（微信同号）</w:t>
      </w:r>
    </w:p>
    <w:p w14:paraId="0BB3DDA1">
      <w:pPr>
        <w:keepNext w:val="0"/>
        <w:keepLines w:val="0"/>
        <w:pageBreakBefore w:val="0"/>
        <w:widowControl w:val="0"/>
        <w:kinsoku/>
        <w:wordWrap/>
        <w:overflowPunct/>
        <w:topLinePunct w:val="0"/>
        <w:autoSpaceDE/>
        <w:autoSpaceDN/>
        <w:bidi w:val="0"/>
        <w:adjustRightInd/>
        <w:snapToGrid/>
        <w:spacing w:after="120" w:line="360" w:lineRule="auto"/>
        <w:textAlignment w:val="auto"/>
        <w:rPr>
          <w:rFonts w:hint="eastAsia" w:ascii="仿宋" w:hAnsi="仿宋" w:eastAsia="仿宋" w:cs="仿宋"/>
          <w:sz w:val="24"/>
          <w:szCs w:val="28"/>
        </w:rPr>
      </w:pPr>
      <w:r>
        <w:rPr>
          <w:rFonts w:hint="eastAsia" w:ascii="仿宋" w:hAnsi="仿宋" w:eastAsia="仿宋" w:cs="仿宋"/>
          <w:sz w:val="24"/>
          <w:szCs w:val="28"/>
        </w:rPr>
        <w:t>访学项目部电话：020-82002936</w:t>
      </w:r>
    </w:p>
    <w:p w14:paraId="2D4535DB">
      <w:pPr>
        <w:keepNext w:val="0"/>
        <w:keepLines w:val="0"/>
        <w:pageBreakBefore w:val="0"/>
        <w:widowControl w:val="0"/>
        <w:numPr>
          <w:ilvl w:val="0"/>
          <w:numId w:val="0"/>
        </w:numPr>
        <w:kinsoku/>
        <w:wordWrap/>
        <w:overflowPunct/>
        <w:topLinePunct w:val="0"/>
        <w:autoSpaceDE/>
        <w:autoSpaceDN/>
        <w:bidi w:val="0"/>
        <w:adjustRightInd/>
        <w:snapToGrid/>
        <w:spacing w:after="120" w:line="360" w:lineRule="auto"/>
        <w:ind w:leftChars="0"/>
        <w:textAlignment w:val="auto"/>
        <w:rPr>
          <w:rFonts w:hint="default" w:ascii="仿宋" w:hAnsi="仿宋" w:eastAsia="仿宋" w:cs="仿宋"/>
          <w:sz w:val="24"/>
          <w:szCs w:val="24"/>
          <w:lang w:val="en-US" w:eastAsia="zh-CN"/>
        </w:rPr>
      </w:pPr>
    </w:p>
    <w:sectPr>
      <w:pgSz w:w="11910" w:h="16840"/>
      <w:pgMar w:top="1500" w:right="1240" w:bottom="280" w:left="16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Y2I3OTRlNTA1NjUwZGY1NGI3NTM4NWZhMGI4N2IifQ=="/>
  </w:docVars>
  <w:rsids>
    <w:rsidRoot w:val="00000000"/>
    <w:rsid w:val="0002480F"/>
    <w:rsid w:val="0073404D"/>
    <w:rsid w:val="01626374"/>
    <w:rsid w:val="0463191A"/>
    <w:rsid w:val="04842AA6"/>
    <w:rsid w:val="04BF588C"/>
    <w:rsid w:val="060F2843"/>
    <w:rsid w:val="078B6B9E"/>
    <w:rsid w:val="07E02DCB"/>
    <w:rsid w:val="09385C0D"/>
    <w:rsid w:val="09630EDC"/>
    <w:rsid w:val="098552F6"/>
    <w:rsid w:val="09CA2D09"/>
    <w:rsid w:val="0B512FB6"/>
    <w:rsid w:val="0BB377CC"/>
    <w:rsid w:val="0C760424"/>
    <w:rsid w:val="0C8C24F7"/>
    <w:rsid w:val="0C905EEA"/>
    <w:rsid w:val="0D270472"/>
    <w:rsid w:val="0D464D9C"/>
    <w:rsid w:val="0D955EDC"/>
    <w:rsid w:val="0DB066B9"/>
    <w:rsid w:val="0DDB0848"/>
    <w:rsid w:val="0E097B78"/>
    <w:rsid w:val="0E707BF7"/>
    <w:rsid w:val="0E9E4764"/>
    <w:rsid w:val="0F9B0CA3"/>
    <w:rsid w:val="0FB35FED"/>
    <w:rsid w:val="101A42BE"/>
    <w:rsid w:val="11AC0F46"/>
    <w:rsid w:val="12211934"/>
    <w:rsid w:val="1369280B"/>
    <w:rsid w:val="14997EA7"/>
    <w:rsid w:val="15996834"/>
    <w:rsid w:val="167F4E7B"/>
    <w:rsid w:val="176F3141"/>
    <w:rsid w:val="189270E7"/>
    <w:rsid w:val="1CB735C0"/>
    <w:rsid w:val="1CD203FA"/>
    <w:rsid w:val="1DE354E7"/>
    <w:rsid w:val="1ECE4BF1"/>
    <w:rsid w:val="210448FA"/>
    <w:rsid w:val="22243EE0"/>
    <w:rsid w:val="22325497"/>
    <w:rsid w:val="232272BA"/>
    <w:rsid w:val="241F1A4B"/>
    <w:rsid w:val="24B91EA0"/>
    <w:rsid w:val="25A95A70"/>
    <w:rsid w:val="25D70743"/>
    <w:rsid w:val="26AD77E2"/>
    <w:rsid w:val="27ED5EAF"/>
    <w:rsid w:val="28BB61E6"/>
    <w:rsid w:val="290D4568"/>
    <w:rsid w:val="295E6B72"/>
    <w:rsid w:val="2C0C0F54"/>
    <w:rsid w:val="2C770676"/>
    <w:rsid w:val="2CD535EF"/>
    <w:rsid w:val="2D55028C"/>
    <w:rsid w:val="2E187C37"/>
    <w:rsid w:val="308B5737"/>
    <w:rsid w:val="31B1462B"/>
    <w:rsid w:val="339733AC"/>
    <w:rsid w:val="33BC6189"/>
    <w:rsid w:val="34763909"/>
    <w:rsid w:val="35596F74"/>
    <w:rsid w:val="35A25627"/>
    <w:rsid w:val="372B34E4"/>
    <w:rsid w:val="37956E2E"/>
    <w:rsid w:val="389D1465"/>
    <w:rsid w:val="394713D0"/>
    <w:rsid w:val="394E6C03"/>
    <w:rsid w:val="3AEC4556"/>
    <w:rsid w:val="3B9A1C8B"/>
    <w:rsid w:val="3C770DD1"/>
    <w:rsid w:val="3CDC62D4"/>
    <w:rsid w:val="3CEC3C90"/>
    <w:rsid w:val="3D401198"/>
    <w:rsid w:val="3E80785E"/>
    <w:rsid w:val="3FCC67B9"/>
    <w:rsid w:val="40532D51"/>
    <w:rsid w:val="407822F5"/>
    <w:rsid w:val="410A2628"/>
    <w:rsid w:val="41782A6F"/>
    <w:rsid w:val="41D07130"/>
    <w:rsid w:val="443548CE"/>
    <w:rsid w:val="46160AA8"/>
    <w:rsid w:val="476E221E"/>
    <w:rsid w:val="47DC54D0"/>
    <w:rsid w:val="48AA54D8"/>
    <w:rsid w:val="48F7696F"/>
    <w:rsid w:val="49392509"/>
    <w:rsid w:val="49D40A5E"/>
    <w:rsid w:val="49F41101"/>
    <w:rsid w:val="4A5E2A1E"/>
    <w:rsid w:val="4ADB7EB0"/>
    <w:rsid w:val="4AEB0F5C"/>
    <w:rsid w:val="4BD034A7"/>
    <w:rsid w:val="4BFC75B5"/>
    <w:rsid w:val="4C2130F3"/>
    <w:rsid w:val="4C2A3C02"/>
    <w:rsid w:val="4D5D520F"/>
    <w:rsid w:val="4DB766CD"/>
    <w:rsid w:val="4E1E674C"/>
    <w:rsid w:val="4E5D6BCC"/>
    <w:rsid w:val="4FB409D2"/>
    <w:rsid w:val="50601829"/>
    <w:rsid w:val="51C25640"/>
    <w:rsid w:val="522D3402"/>
    <w:rsid w:val="52481FEA"/>
    <w:rsid w:val="529C6E65"/>
    <w:rsid w:val="52B6788F"/>
    <w:rsid w:val="542C527D"/>
    <w:rsid w:val="547E083F"/>
    <w:rsid w:val="54C0055D"/>
    <w:rsid w:val="558F6181"/>
    <w:rsid w:val="56ED7603"/>
    <w:rsid w:val="57D936E4"/>
    <w:rsid w:val="58647451"/>
    <w:rsid w:val="58D565A1"/>
    <w:rsid w:val="58E41B62"/>
    <w:rsid w:val="59211DE0"/>
    <w:rsid w:val="5925179D"/>
    <w:rsid w:val="59A33FA9"/>
    <w:rsid w:val="5A317807"/>
    <w:rsid w:val="5A917B93"/>
    <w:rsid w:val="5B123195"/>
    <w:rsid w:val="5B4377F2"/>
    <w:rsid w:val="5BD112A2"/>
    <w:rsid w:val="5BF705DC"/>
    <w:rsid w:val="5C5577D7"/>
    <w:rsid w:val="5CE172C2"/>
    <w:rsid w:val="5D87032D"/>
    <w:rsid w:val="5F36707E"/>
    <w:rsid w:val="5F494D5F"/>
    <w:rsid w:val="5FA14050"/>
    <w:rsid w:val="5FC03B07"/>
    <w:rsid w:val="5FC37153"/>
    <w:rsid w:val="5FDE21DF"/>
    <w:rsid w:val="623B56C7"/>
    <w:rsid w:val="62712E97"/>
    <w:rsid w:val="63185A08"/>
    <w:rsid w:val="639107B4"/>
    <w:rsid w:val="64B61035"/>
    <w:rsid w:val="65197815"/>
    <w:rsid w:val="651B17E0"/>
    <w:rsid w:val="66540B05"/>
    <w:rsid w:val="66772A46"/>
    <w:rsid w:val="6917406C"/>
    <w:rsid w:val="693410C2"/>
    <w:rsid w:val="69676DA1"/>
    <w:rsid w:val="6B4750DC"/>
    <w:rsid w:val="6D147240"/>
    <w:rsid w:val="6D793547"/>
    <w:rsid w:val="6EE3336E"/>
    <w:rsid w:val="6F543924"/>
    <w:rsid w:val="6FD545AA"/>
    <w:rsid w:val="701D28B0"/>
    <w:rsid w:val="70B30B1E"/>
    <w:rsid w:val="70B86135"/>
    <w:rsid w:val="70BF74C3"/>
    <w:rsid w:val="712B5494"/>
    <w:rsid w:val="71926F3A"/>
    <w:rsid w:val="71A444B3"/>
    <w:rsid w:val="72223EA0"/>
    <w:rsid w:val="72451C4A"/>
    <w:rsid w:val="726C5429"/>
    <w:rsid w:val="72B91C82"/>
    <w:rsid w:val="72F0605A"/>
    <w:rsid w:val="732906FF"/>
    <w:rsid w:val="737067CE"/>
    <w:rsid w:val="741B0EB4"/>
    <w:rsid w:val="75A82C1C"/>
    <w:rsid w:val="776500DC"/>
    <w:rsid w:val="778933E1"/>
    <w:rsid w:val="78FE2B52"/>
    <w:rsid w:val="7B6C0247"/>
    <w:rsid w:val="7BA2010D"/>
    <w:rsid w:val="7C331B04"/>
    <w:rsid w:val="7C6F4493"/>
    <w:rsid w:val="7D056BA5"/>
    <w:rsid w:val="7D7F24B4"/>
    <w:rsid w:val="7DE762AB"/>
    <w:rsid w:val="7DE93DD1"/>
    <w:rsid w:val="7E1F77F3"/>
    <w:rsid w:val="7E527BC8"/>
    <w:rsid w:val="7F3A68A1"/>
    <w:rsid w:val="7FB34697"/>
    <w:rsid w:val="7FDA7E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autoRedefine/>
    <w:qFormat/>
    <w:uiPriority w:val="1"/>
    <w:pPr>
      <w:spacing w:before="12"/>
      <w:ind w:left="214"/>
      <w:outlineLvl w:val="1"/>
    </w:pPr>
    <w:rPr>
      <w:rFonts w:ascii="宋体" w:hAnsi="宋体" w:eastAsia="宋体" w:cs="宋体"/>
      <w:b/>
      <w:bCs/>
      <w:sz w:val="44"/>
      <w:szCs w:val="44"/>
      <w:lang w:val="zh-CN" w:eastAsia="zh-CN" w:bidi="zh-CN"/>
    </w:rPr>
  </w:style>
  <w:style w:type="paragraph" w:styleId="5">
    <w:name w:val="heading 2"/>
    <w:basedOn w:val="1"/>
    <w:next w:val="1"/>
    <w:autoRedefine/>
    <w:qFormat/>
    <w:uiPriority w:val="1"/>
    <w:pPr>
      <w:spacing w:before="55"/>
      <w:ind w:left="120"/>
      <w:outlineLvl w:val="2"/>
    </w:pPr>
    <w:rPr>
      <w:rFonts w:ascii="宋体" w:hAnsi="宋体" w:eastAsia="宋体" w:cs="宋体"/>
      <w:b/>
      <w:bCs/>
      <w:sz w:val="32"/>
      <w:szCs w:val="32"/>
      <w:lang w:val="zh-CN" w:eastAsia="zh-CN" w:bidi="zh-CN"/>
    </w:rPr>
  </w:style>
  <w:style w:type="paragraph" w:styleId="6">
    <w:name w:val="heading 5"/>
    <w:basedOn w:val="1"/>
    <w:next w:val="1"/>
    <w:autoRedefine/>
    <w:unhideWhenUsed/>
    <w:qFormat/>
    <w:uiPriority w:val="9"/>
    <w:pPr>
      <w:keepNext/>
      <w:keepLines/>
      <w:spacing w:before="280" w:after="290" w:line="376" w:lineRule="auto"/>
      <w:outlineLvl w:val="4"/>
    </w:pPr>
    <w:rPr>
      <w:b/>
      <w:bCs/>
      <w:sz w:val="28"/>
      <w:szCs w:val="28"/>
    </w:rPr>
  </w:style>
  <w:style w:type="character" w:default="1" w:styleId="11">
    <w:name w:val="Default Paragraph Font"/>
    <w:autoRedefine/>
    <w:semiHidden/>
    <w:unhideWhenUsed/>
    <w:qFormat/>
    <w:uiPriority w:val="1"/>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autoRedefine/>
    <w:semiHidden/>
    <w:unhideWhenUsed/>
    <w:qFormat/>
    <w:uiPriority w:val="99"/>
    <w:pPr>
      <w:ind w:firstLine="420" w:firstLineChars="200"/>
    </w:pPr>
  </w:style>
  <w:style w:type="paragraph" w:styleId="3">
    <w:name w:val="Body Text Indent"/>
    <w:basedOn w:val="1"/>
    <w:next w:val="2"/>
    <w:autoRedefine/>
    <w:semiHidden/>
    <w:unhideWhenUsed/>
    <w:qFormat/>
    <w:uiPriority w:val="99"/>
    <w:pPr>
      <w:spacing w:after="120"/>
      <w:ind w:left="420" w:leftChars="200"/>
    </w:pPr>
  </w:style>
  <w:style w:type="paragraph" w:styleId="7">
    <w:name w:val="Body Text"/>
    <w:basedOn w:val="1"/>
    <w:autoRedefine/>
    <w:qFormat/>
    <w:uiPriority w:val="1"/>
    <w:rPr>
      <w:rFonts w:ascii="宋体" w:hAnsi="宋体" w:eastAsia="宋体" w:cs="宋体"/>
      <w:sz w:val="32"/>
      <w:szCs w:val="32"/>
      <w:lang w:val="zh-CN" w:eastAsia="zh-CN" w:bidi="zh-CN"/>
    </w:rPr>
  </w:style>
  <w:style w:type="paragraph" w:styleId="8">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autoRedefine/>
    <w:qFormat/>
    <w:uiPriority w:val="0"/>
    <w:rPr>
      <w:b/>
    </w:rPr>
  </w:style>
  <w:style w:type="character" w:styleId="13">
    <w:name w:val="FollowedHyperlink"/>
    <w:basedOn w:val="11"/>
    <w:autoRedefine/>
    <w:qFormat/>
    <w:uiPriority w:val="0"/>
    <w:rPr>
      <w:color w:val="800080"/>
      <w:u w:val="single"/>
    </w:rPr>
  </w:style>
  <w:style w:type="character" w:styleId="14">
    <w:name w:val="Hyperlink"/>
    <w:basedOn w:val="11"/>
    <w:autoRedefine/>
    <w:qFormat/>
    <w:uiPriority w:val="0"/>
    <w:rPr>
      <w:color w:val="0000FF"/>
      <w:u w:val="single"/>
    </w:rPr>
  </w:style>
  <w:style w:type="table" w:customStyle="1" w:styleId="15">
    <w:name w:val="Table Normal"/>
    <w:autoRedefine/>
    <w:semiHidden/>
    <w:unhideWhenUsed/>
    <w:qFormat/>
    <w:uiPriority w:val="2"/>
    <w:tblPr>
      <w:tblCellMar>
        <w:top w:w="0" w:type="dxa"/>
        <w:left w:w="0" w:type="dxa"/>
        <w:bottom w:w="0" w:type="dxa"/>
        <w:right w:w="0" w:type="dxa"/>
      </w:tblCellMar>
    </w:tblPr>
  </w:style>
  <w:style w:type="paragraph" w:styleId="16">
    <w:name w:val="List Paragraph"/>
    <w:basedOn w:val="1"/>
    <w:autoRedefine/>
    <w:qFormat/>
    <w:uiPriority w:val="1"/>
    <w:pPr>
      <w:ind w:left="425" w:hanging="306"/>
    </w:pPr>
    <w:rPr>
      <w:rFonts w:ascii="宋体" w:hAnsi="宋体" w:eastAsia="宋体" w:cs="宋体"/>
      <w:lang w:val="zh-CN" w:eastAsia="zh-CN" w:bidi="zh-CN"/>
    </w:rPr>
  </w:style>
  <w:style w:type="paragraph" w:customStyle="1" w:styleId="17">
    <w:name w:val="Table Paragraph"/>
    <w:basedOn w:val="1"/>
    <w:autoRedefine/>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2242</Words>
  <Characters>2423</Characters>
  <TotalTime>5</TotalTime>
  <ScaleCrop>false</ScaleCrop>
  <LinksUpToDate>false</LinksUpToDate>
  <CharactersWithSpaces>2428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2023-05-30T02:31:00Z</dcterms:created>
  <dc:creator>劳琪琪</dc:creator>
  <cp:lastModifiedBy>张重</cp:lastModifiedBy>
  <dcterms:modified xsi:type="dcterms:W3CDTF">2026-03-23T08:10:22Z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2023-05-26T00:00:00Z</vt:filetime>
  </property>
  <property fmtid="{D5CDD505-2E9C-101B-9397-08002B2CF9AE}" pid="3" name="Creator">
    <vt:lpwstr>Microsoft® Word 2019</vt:lpwstr>
  </property>
  <property fmtid="{D5CDD505-2E9C-101B-9397-08002B2CF9AE}" pid="4" name="LastSaved">
    <vt:filetime>2023-05-30T00:00:00Z</vt:filetime>
  </property>
  <property fmtid="{D5CDD505-2E9C-101B-9397-08002B2CF9AE}" pid="5" name="KSOProductBuildVer">
    <vt:lpwstr>2052-12.1.0.23542</vt:lpwstr>
  </property>
  <property fmtid="{D5CDD505-2E9C-101B-9397-08002B2CF9AE}" pid="6" name="ICV">
    <vt:lpwstr>1C55D933DA6F4B6D91922E26B6B4E17C_13</vt:lpwstr>
  </property>
  <property fmtid="{D5CDD505-2E9C-101B-9397-08002B2CF9AE}" pid="7" name="KSOTemplateDocerSaveRecord">
    <vt:lpwstr>eyJoZGlkIjoiYjFhY2MyMDljZDE1Nzk3Mjg2NDBkZGM5ZmNmYWUzZjciLCJ1c2VySWQiOiIxNzE1NjI4NTI0In0=</vt:lpwstr>
  </property>
</Properties>
</file>