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4B071">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sz w:val="36"/>
          <w:szCs w:val="36"/>
          <w:lang w:val="en-US" w:eastAsia="zh-CN"/>
        </w:rPr>
      </w:pPr>
      <w:r>
        <w:rPr>
          <w:rFonts w:hint="default"/>
          <w:sz w:val="36"/>
          <w:szCs w:val="36"/>
        </w:rPr>
        <w:t>关于报名参加2026年暑期</w:t>
      </w:r>
      <w:r>
        <w:rPr>
          <w:rFonts w:hint="eastAsia"/>
          <w:sz w:val="36"/>
          <w:szCs w:val="36"/>
          <w:lang w:val="en-US" w:eastAsia="zh-CN"/>
        </w:rPr>
        <w:t>澳大利亚墨尔本大学</w:t>
      </w:r>
    </w:p>
    <w:p w14:paraId="15400642">
      <w:pPr>
        <w:pStyle w:val="2"/>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eastAsia="宋体"/>
          <w:sz w:val="36"/>
          <w:szCs w:val="36"/>
          <w:lang w:val="en-US" w:eastAsia="zh-CN"/>
        </w:rPr>
      </w:pPr>
      <w:r>
        <w:rPr>
          <w:rFonts w:hint="default"/>
          <w:sz w:val="36"/>
          <w:szCs w:val="36"/>
        </w:rPr>
        <w:t>学术写作与科研能力提升</w:t>
      </w:r>
      <w:r>
        <w:rPr>
          <w:rFonts w:hint="eastAsia"/>
          <w:sz w:val="36"/>
          <w:szCs w:val="36"/>
          <w:lang w:val="en-US" w:eastAsia="zh-CN"/>
        </w:rPr>
        <w:t>项目的通知</w:t>
      </w:r>
    </w:p>
    <w:p w14:paraId="26D89E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为系统提升学术写作水平与科研实践能力，助力学生对接国际学术前沿，现向我校学生推荐墨尔本大学2026年暑期学术写作与科研能力提升项目。项目依托世界顶尖研究型大学的优质资源，通过专业课程研修、科研实践指导与国际学术交流，强化学生的学术思维与国际竞争力。欢迎对学术研究有浓厚兴趣的同学积极报名，开启在澳大利亚学术重镇的创新探索之旅。</w:t>
      </w:r>
    </w:p>
    <w:p w14:paraId="2866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p>
    <w:p w14:paraId="683D2893">
      <w:pPr>
        <w:rPr>
          <w:rFonts w:hint="eastAsia" w:ascii="仿宋" w:hAnsi="仿宋" w:eastAsia="仿宋" w:cs="仿宋"/>
          <w:b/>
          <w:bCs/>
          <w:sz w:val="28"/>
          <w:szCs w:val="36"/>
        </w:rPr>
      </w:pPr>
      <w:r>
        <w:rPr>
          <w:rFonts w:hint="eastAsia" w:ascii="仿宋" w:hAnsi="仿宋" w:eastAsia="仿宋" w:cs="仿宋"/>
          <w:b/>
          <w:bCs/>
          <w:sz w:val="28"/>
          <w:szCs w:val="36"/>
        </w:rPr>
        <w:t>一、学校简介</w:t>
      </w:r>
    </w:p>
    <w:p w14:paraId="30D263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墨尔本大学成立于1853年，是澳大利亚最具历史与影响力的公立研究型大学之一，也是维多利亚州最早的高等教育机构，在2026年QS世界大学排名中名列全球第19位，并连续多年位居澳大利亚综合排名第一，展现出卓越的学术实力与全球声誉。墨尔本大学在学术声誉、雇主声誉及毕业生就业前景等指标上表现突出，尤其在多个学科领域拥有世界领先的研究与教学成果，其科研网络与国际合作伙伴遍布全球。</w:t>
      </w:r>
    </w:p>
    <w:p w14:paraId="32EB0D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墨尔本是澳大利亚第二大城市、维多利亚州的首府，同时也是全球知名的国际教育与创新中心。墨尔本为国际学生与科研人才提供了极具吸引力的学习与生活环境，该市拥有多所世界级大学、广泛科研机构和创新企业集群，并以其高质量的公共服务、完善的交通网络和文化多样性著称。此外，墨尔本常年被评为世界最宜居城市之一，在教育、医疗和生活设施等方面表现优异，是学生开展高强度学术活动与职业发展的理想场所。</w:t>
      </w:r>
    </w:p>
    <w:p w14:paraId="42AA7E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p>
    <w:p w14:paraId="19D41AE2">
      <w:pP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二、项目优势</w:t>
      </w:r>
    </w:p>
    <w:p w14:paraId="4C9AECA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1.依托墨尔本大学研究型大学体系的科研训练框架</w:t>
      </w:r>
      <w:r>
        <w:rPr>
          <w:rFonts w:hint="eastAsia" w:ascii="仿宋" w:hAnsi="仿宋" w:eastAsia="仿宋" w:cs="仿宋"/>
          <w:sz w:val="24"/>
          <w:szCs w:val="24"/>
          <w:lang w:val="en-US" w:eastAsia="zh-CN"/>
        </w:rPr>
        <w:br w:type="textWrapping"/>
      </w:r>
      <w:r>
        <w:rPr>
          <w:rFonts w:hint="eastAsia" w:ascii="仿宋" w:hAnsi="仿宋" w:eastAsia="仿宋" w:cs="仿宋"/>
          <w:sz w:val="24"/>
          <w:szCs w:val="24"/>
          <w:lang w:val="en-US" w:eastAsia="zh-CN"/>
        </w:rPr>
        <w:t>项目以墨尔本大学成熟的研究型大学培养体系为依托，参照其真实科研与教学运行逻辑设计课程结构。围绕研究问题的提出、文献检索与批判性阅读、研究路径设计以及学术成果的规范表达等核心环节，系统还原世界一流高校对科研能力的基本要求，使学生在严谨的学术环境中理解顶尖研究型大学如何组织与推进学术研究。</w:t>
      </w:r>
    </w:p>
    <w:p w14:paraId="19D84E9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
          <w:bCs/>
          <w:color w:val="E54C5E" w:themeColor="accent6"/>
          <w:sz w:val="24"/>
          <w:szCs w:val="24"/>
          <w:lang w:val="en-US" w:eastAsia="zh-CN"/>
          <w14:textFill>
            <w14:solidFill>
              <w14:schemeClr w14:val="accent6"/>
            </w14:solidFill>
          </w14:textFill>
        </w:rPr>
      </w:pPr>
      <w:r>
        <w:rPr>
          <w:rFonts w:hint="default" w:ascii="仿宋" w:hAnsi="仿宋" w:eastAsia="仿宋" w:cs="仿宋"/>
          <w:b/>
          <w:bCs/>
          <w:sz w:val="24"/>
          <w:szCs w:val="24"/>
          <w:lang w:val="en-US" w:eastAsia="zh-CN"/>
        </w:rPr>
        <w:t>2.通用科研能力与专业方向探索的有机结合</w:t>
      </w:r>
      <w:r>
        <w:rPr>
          <w:rFonts w:hint="default" w:ascii="仿宋" w:hAnsi="仿宋" w:eastAsia="仿宋" w:cs="仿宋"/>
          <w:sz w:val="24"/>
          <w:szCs w:val="24"/>
          <w:lang w:val="en-US" w:eastAsia="zh-CN"/>
        </w:rPr>
        <w:br w:type="textWrapping"/>
      </w:r>
      <w:r>
        <w:rPr>
          <w:rFonts w:hint="default" w:ascii="仿宋" w:hAnsi="仿宋" w:eastAsia="仿宋" w:cs="仿宋"/>
          <w:sz w:val="24"/>
          <w:szCs w:val="24"/>
          <w:lang w:val="en-US" w:eastAsia="zh-CN"/>
        </w:rPr>
        <w:t>在夯实学术写作与科研方法等通用能力的基础上，项目设置可延展的专业方向模块，将研究训练置于具体学科语境中展开。</w:t>
      </w:r>
    </w:p>
    <w:p w14:paraId="40E4876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
          <w:bCs/>
          <w:sz w:val="24"/>
          <w:szCs w:val="24"/>
          <w:lang w:val="en-US" w:eastAsia="zh-CN"/>
        </w:rPr>
      </w:pPr>
      <w:r>
        <w:rPr>
          <w:rFonts w:hint="default" w:ascii="仿宋" w:hAnsi="仿宋" w:eastAsia="仿宋" w:cs="仿宋"/>
          <w:b/>
          <w:bCs/>
          <w:sz w:val="24"/>
          <w:szCs w:val="24"/>
          <w:lang w:val="en-US" w:eastAsia="zh-CN"/>
        </w:rPr>
        <w:t>3.强化英语学术表达与国际学术适应能力</w:t>
      </w:r>
    </w:p>
    <w:p w14:paraId="7F21CF7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项目全程融入英语学术写作与学术沟通训练，系统提升学生在英文环境下进行学术写作、讨论与展示的规范性与自信度。通过持续的输入与输出练习，学生逐步适应国际高校课堂与研讨场景，理解澳大利亚高校对批判性思维、学术诚信与原创性的核心要求，为未来进入国际学术体系奠定基础。</w:t>
      </w:r>
    </w:p>
    <w:p w14:paraId="04C4762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仿宋" w:hAnsi="仿宋" w:eastAsia="仿宋" w:cs="仿宋"/>
          <w:b/>
          <w:bCs/>
          <w:sz w:val="24"/>
          <w:szCs w:val="32"/>
        </w:rPr>
      </w:pPr>
      <w:r>
        <w:rPr>
          <w:rFonts w:hint="default" w:ascii="仿宋" w:hAnsi="仿宋" w:eastAsia="仿宋" w:cs="仿宋"/>
          <w:b/>
          <w:bCs/>
          <w:sz w:val="24"/>
          <w:szCs w:val="32"/>
        </w:rPr>
        <w:t>4.全程专业服务与安全保障</w:t>
      </w:r>
    </w:p>
    <w:p w14:paraId="1FCF0A8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sz w:val="24"/>
          <w:szCs w:val="32"/>
          <w:lang w:val="en-US" w:eastAsia="zh-CN"/>
        </w:rPr>
      </w:pPr>
      <w:r>
        <w:rPr>
          <w:rFonts w:hint="default" w:ascii="仿宋" w:hAnsi="仿宋" w:eastAsia="仿宋" w:cs="仿宋"/>
          <w:sz w:val="24"/>
          <w:szCs w:val="32"/>
          <w:lang w:val="en-US" w:eastAsia="zh-CN"/>
        </w:rPr>
        <w:t>项目提供覆盖全过程的专业支持服务，包括中英文面试、签证办理协助、机票预订建议以及行前安全培训。访学期间提供必要的学习与生活支持，涵盖出入境安排、课程对接与日常协助等关键环节，助力学生在安全、有序且高效的环境中顺利完成访学任务。</w:t>
      </w:r>
    </w:p>
    <w:p w14:paraId="6E01EBE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sz w:val="24"/>
          <w:szCs w:val="32"/>
          <w:lang w:val="en-US" w:eastAsia="zh-CN"/>
        </w:rPr>
      </w:pPr>
    </w:p>
    <w:p w14:paraId="32F4B2D2">
      <w:pPr>
        <w:rPr>
          <w:rFonts w:hint="default" w:ascii="仿宋" w:hAnsi="仿宋" w:eastAsia="仿宋" w:cs="仿宋"/>
          <w:b/>
          <w:bCs/>
          <w:sz w:val="28"/>
          <w:szCs w:val="28"/>
          <w:lang w:val="en-US" w:eastAsia="zh-CN"/>
        </w:rPr>
      </w:pPr>
      <w:r>
        <w:rPr>
          <w:rFonts w:hint="default" w:ascii="仿宋" w:hAnsi="仿宋" w:eastAsia="仿宋" w:cs="仿宋"/>
          <w:b/>
          <w:bCs/>
          <w:sz w:val="28"/>
          <w:szCs w:val="28"/>
          <w:lang w:val="en-US" w:eastAsia="zh-CN"/>
        </w:rPr>
        <w:t>三、项目介绍</w:t>
      </w:r>
    </w:p>
    <w:p w14:paraId="70BFA92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t>1.项目主题：</w:t>
      </w:r>
      <w:r>
        <w:rPr>
          <w:rFonts w:hint="eastAsia" w:ascii="仿宋" w:hAnsi="仿宋" w:eastAsia="仿宋" w:cs="仿宋"/>
          <w:sz w:val="24"/>
          <w:szCs w:val="24"/>
        </w:rPr>
        <w:t>学术写作与科研能力提升</w:t>
      </w:r>
    </w:p>
    <w:p w14:paraId="73E539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rPr>
        <w:t>2.项目时间：</w:t>
      </w:r>
      <w:r>
        <w:rPr>
          <w:rFonts w:hint="eastAsia" w:ascii="仿宋" w:hAnsi="仿宋" w:eastAsia="仿宋" w:cs="仿宋"/>
          <w:sz w:val="24"/>
          <w:szCs w:val="24"/>
        </w:rPr>
        <w:t>2026年</w:t>
      </w:r>
      <w:r>
        <w:rPr>
          <w:rFonts w:hint="eastAsia" w:ascii="仿宋" w:hAnsi="仿宋" w:eastAsia="仿宋" w:cs="仿宋"/>
          <w:sz w:val="24"/>
          <w:szCs w:val="24"/>
          <w:lang w:val="en-US" w:eastAsia="zh-CN"/>
        </w:rPr>
        <w:t>8</w:t>
      </w:r>
      <w:r>
        <w:rPr>
          <w:rFonts w:hint="eastAsia" w:ascii="仿宋" w:hAnsi="仿宋" w:eastAsia="仿宋" w:cs="仿宋"/>
          <w:sz w:val="24"/>
          <w:szCs w:val="24"/>
        </w:rPr>
        <w:t>月</w:t>
      </w:r>
      <w:r>
        <w:rPr>
          <w:rFonts w:hint="eastAsia" w:ascii="仿宋" w:hAnsi="仿宋" w:eastAsia="仿宋" w:cs="仿宋"/>
          <w:sz w:val="24"/>
          <w:szCs w:val="24"/>
          <w:lang w:val="en-US" w:eastAsia="zh-CN"/>
        </w:rPr>
        <w:t>8</w:t>
      </w:r>
      <w:r>
        <w:rPr>
          <w:rFonts w:hint="eastAsia" w:ascii="仿宋" w:hAnsi="仿宋" w:eastAsia="仿宋" w:cs="仿宋"/>
          <w:sz w:val="24"/>
          <w:szCs w:val="24"/>
        </w:rPr>
        <w:t>日-</w:t>
      </w:r>
      <w:r>
        <w:rPr>
          <w:rFonts w:hint="eastAsia" w:ascii="仿宋" w:hAnsi="仿宋" w:eastAsia="仿宋" w:cs="仿宋"/>
          <w:sz w:val="24"/>
          <w:szCs w:val="24"/>
          <w:lang w:val="en-US" w:eastAsia="zh-CN"/>
        </w:rPr>
        <w:t>8</w:t>
      </w:r>
      <w:r>
        <w:rPr>
          <w:rFonts w:hint="eastAsia" w:ascii="仿宋" w:hAnsi="仿宋" w:eastAsia="仿宋" w:cs="仿宋"/>
          <w:sz w:val="24"/>
          <w:szCs w:val="24"/>
        </w:rPr>
        <w:t>月</w:t>
      </w:r>
      <w:r>
        <w:rPr>
          <w:rFonts w:hint="eastAsia" w:ascii="仿宋" w:hAnsi="仿宋" w:eastAsia="仿宋" w:cs="仿宋"/>
          <w:sz w:val="24"/>
          <w:szCs w:val="24"/>
          <w:lang w:val="en-US" w:eastAsia="zh-CN"/>
        </w:rPr>
        <w:t>16</w:t>
      </w:r>
      <w:r>
        <w:rPr>
          <w:rFonts w:hint="eastAsia" w:ascii="仿宋" w:hAnsi="仿宋" w:eastAsia="仿宋" w:cs="仿宋"/>
          <w:sz w:val="24"/>
          <w:szCs w:val="24"/>
        </w:rPr>
        <w:t>日（</w:t>
      </w:r>
      <w:r>
        <w:rPr>
          <w:rFonts w:hint="eastAsia" w:ascii="仿宋" w:hAnsi="仿宋" w:eastAsia="仿宋" w:cs="仿宋"/>
          <w:sz w:val="24"/>
          <w:szCs w:val="24"/>
          <w:lang w:val="en-US" w:eastAsia="zh-CN"/>
        </w:rPr>
        <w:t>含往返9天</w:t>
      </w:r>
      <w:r>
        <w:rPr>
          <w:rFonts w:hint="eastAsia" w:ascii="仿宋" w:hAnsi="仿宋" w:eastAsia="仿宋" w:cs="仿宋"/>
          <w:sz w:val="24"/>
          <w:szCs w:val="24"/>
        </w:rPr>
        <w:t>）</w:t>
      </w:r>
    </w:p>
    <w:p w14:paraId="59010527">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悉尼社会文化考察时间：</w:t>
      </w:r>
      <w:r>
        <w:rPr>
          <w:rFonts w:hint="eastAsia" w:ascii="仿宋" w:hAnsi="仿宋" w:eastAsia="仿宋" w:cs="仿宋"/>
          <w:sz w:val="24"/>
          <w:szCs w:val="24"/>
          <w:lang w:val="en-US" w:eastAsia="zh-CN"/>
        </w:rPr>
        <w:t>2026年8月15日-8月21日（7天6晚，自费选配）</w:t>
      </w:r>
    </w:p>
    <w:p w14:paraId="038AB7A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lang w:val="en-US" w:eastAsia="zh-CN"/>
        </w:rPr>
      </w:pPr>
      <w:r>
        <w:rPr>
          <w:rFonts w:hint="eastAsia" w:ascii="仿宋" w:hAnsi="仿宋" w:eastAsia="仿宋" w:cs="仿宋"/>
          <w:sz w:val="24"/>
          <w:szCs w:val="24"/>
          <w:lang w:val="en-US" w:eastAsia="zh-CN"/>
        </w:rPr>
        <w:t>*具体出发、返回时间可能根据航班调度微调，以最终通知为准。</w:t>
      </w:r>
    </w:p>
    <w:p w14:paraId="60B3B6FF">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eastAsia" w:ascii="仿宋" w:hAnsi="仿宋" w:eastAsia="仿宋" w:cs="仿宋"/>
          <w:b/>
          <w:bCs/>
          <w:sz w:val="24"/>
          <w:szCs w:val="24"/>
        </w:rPr>
      </w:pPr>
      <w:r>
        <w:rPr>
          <w:rFonts w:hint="eastAsia" w:ascii="仿宋" w:hAnsi="仿宋" w:eastAsia="仿宋" w:cs="仿宋"/>
          <w:b/>
          <w:bCs/>
          <w:sz w:val="24"/>
          <w:szCs w:val="24"/>
        </w:rPr>
        <w:t>主要</w:t>
      </w:r>
      <w:r>
        <w:rPr>
          <w:rFonts w:hint="eastAsia" w:ascii="仿宋" w:hAnsi="仿宋" w:eastAsia="仿宋" w:cs="仿宋"/>
          <w:b/>
          <w:bCs/>
          <w:sz w:val="24"/>
          <w:szCs w:val="24"/>
          <w:lang w:val="en-US" w:eastAsia="zh-CN"/>
        </w:rPr>
        <w:t>项目</w:t>
      </w:r>
      <w:r>
        <w:rPr>
          <w:rFonts w:hint="eastAsia" w:ascii="仿宋" w:hAnsi="仿宋" w:eastAsia="仿宋" w:cs="仿宋"/>
          <w:b/>
          <w:bCs/>
          <w:sz w:val="24"/>
          <w:szCs w:val="24"/>
        </w:rPr>
        <w:t>内容</w:t>
      </w:r>
    </w:p>
    <w:p w14:paraId="3CC7F1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板块一：学术写作与科研训练</w:t>
      </w:r>
    </w:p>
    <w:p w14:paraId="403518CD">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科研问题构建与文献研究基础</w:t>
      </w: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本模块围绕科研问题的形成与学术文献研究展开，系统引导学生从个人学术兴趣出发，逐步凝练具有学术意义且具可操作性的研究问题。课程涵盖学术数据库的基本使用、检索策略与关键词设计方法，并引导学生对文献的相关性、可信度与学术价值进行评估，帮助其建立规范、可持续的文献研究路径，为后续研究设计与学术写作奠定方法论基础。</w:t>
      </w:r>
    </w:p>
    <w:p w14:paraId="1AAF5CAE">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学术写作、研究设计与学术沟通</w:t>
      </w:r>
      <w:r>
        <w:rPr>
          <w:rFonts w:hint="eastAsia" w:ascii="仿宋" w:hAnsi="仿宋" w:eastAsia="仿宋" w:cs="仿宋"/>
          <w:sz w:val="24"/>
          <w:szCs w:val="24"/>
          <w:lang w:val="en-US" w:eastAsia="zh-CN"/>
        </w:rPr>
        <w:t>：</w:t>
      </w:r>
      <w:r>
        <w:rPr>
          <w:rFonts w:hint="default" w:ascii="仿宋" w:hAnsi="仿宋" w:eastAsia="仿宋" w:cs="仿宋"/>
          <w:sz w:val="24"/>
          <w:szCs w:val="24"/>
          <w:lang w:val="en-US" w:eastAsia="zh-CN"/>
        </w:rPr>
        <w:t>在科研问题与文献研究的基础上，本模块重点训练学生的学术写作与研究设计能力，并强化其在国际学术环境中的表达与交流意识。课程内容包括学术写作中的信息整合、观点组织、转述与引用规范，不同研究方法在跨学科情境下的基本应用，以及学术诚信与研究伦理的核心原则。同时，通过研究陈述与小组展示训练，学生将提升结构化表达研究思路的能力，更加从容地参与课堂讨论与学术交流。</w:t>
      </w:r>
    </w:p>
    <w:p w14:paraId="5A1C312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板块二：延展课程模块（专业方向拓展）</w:t>
      </w:r>
    </w:p>
    <w:p w14:paraId="12743B8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通用科研能力训练之外，项目设置专业方向延展模块，支持学生在特定学科领域开展更具针对性的学术探索。根据项目实施期间的实际教学安排与可用学术资源情况，项目拟安排2场以临床医学或商业分析主题为核心的专题讲座或学术交流活动。</w:t>
      </w:r>
    </w:p>
    <w:p w14:paraId="03B6CEC7">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临床医学：内容将侧重临床医学的基础认知与前沿进展，结合真实医疗场景与案例导向的教学方式，引导学生理解从疾病评估、诊断思路到治疗决策的基本框架；同时关注循证医学、临床科研与医患沟通等关键能力的培养，帮助学生建立更系统的临床思维与职业认知。</w:t>
      </w:r>
    </w:p>
    <w:p w14:paraId="6EB48D74">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商业分析：内容将侧重数据驱动的商业决策思维与分析方法框架，围绕企业常见业务场景，引导学生理解从问题定义、数据获取与处理、指标体系构建到分析结论输出与沟通呈现的基本流程；同时关注市场洞察、运营优化、财务与管理决策支持等应用方向，帮助学生建立结构化分析能力与商业敏感度。</w:t>
      </w:r>
    </w:p>
    <w:p w14:paraId="17AC23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板块三：悉尼文化考察（自费选配）</w:t>
      </w:r>
    </w:p>
    <w:p w14:paraId="1DF74F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课程结束后，学生可选择从墨尔本飞往悉尼进行为7天6晚的悉尼社会文化考察。拟访问高校为悉尼大学、新南威尔士大学等；赴悉尼歌剧院、海鲜市场、蓝山、邦迪海滩、圣玛丽大教堂等地进行实地考察，期间举办澳洲特色BBQ等活动。丰富多彩的活动使学生尽可能了解澳洲高等教育、人文景观、产业经济等，提升访学价值。</w:t>
      </w:r>
    </w:p>
    <w:p w14:paraId="1189BE3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4.项目收获：</w:t>
      </w:r>
      <w:r>
        <w:rPr>
          <w:rFonts w:hint="eastAsia" w:ascii="仿宋" w:hAnsi="仿宋" w:eastAsia="仿宋" w:cs="仿宋"/>
          <w:sz w:val="24"/>
          <w:szCs w:val="24"/>
          <w:lang w:val="en-US" w:eastAsia="zh-CN"/>
        </w:rPr>
        <w:t>顺利完成课程并达到相关学习要求后，学生将获得由墨尔本大学颁发的项目结业证书。</w:t>
      </w:r>
    </w:p>
    <w:p w14:paraId="171D9E8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 w:hAnsi="仿宋" w:eastAsia="仿宋" w:cs="仿宋"/>
          <w:sz w:val="24"/>
          <w:szCs w:val="24"/>
          <w:lang w:val="en-US" w:eastAsia="zh-CN"/>
        </w:rPr>
      </w:pPr>
      <w:r>
        <w:rPr>
          <w:rFonts w:hint="eastAsia" w:ascii="仿宋" w:hAnsi="仿宋" w:eastAsia="仿宋" w:cs="仿宋"/>
          <w:b/>
          <w:bCs/>
          <w:sz w:val="24"/>
          <w:szCs w:val="24"/>
          <w:lang w:val="en-US" w:eastAsia="zh-CN"/>
        </w:rPr>
        <w:t>5.住宿安排：</w:t>
      </w:r>
      <w:r>
        <w:rPr>
          <w:rFonts w:hint="eastAsia" w:ascii="仿宋" w:hAnsi="仿宋" w:eastAsia="仿宋" w:cs="仿宋"/>
          <w:sz w:val="24"/>
          <w:szCs w:val="24"/>
          <w:lang w:val="en-US" w:eastAsia="zh-CN"/>
        </w:rPr>
        <w:t>拟安排入住当地公寓式酒店，地理位置方便，环境干净整洁，有宽敞舒适的起居区（客厅），设施齐全的厨房区，配备有空调、洗衣机、烘干机、毛巾、浴巾等。如果学生交费时酒店已满员，则调整到其他酒店或公寓，设施可能不同。</w:t>
      </w:r>
    </w:p>
    <w:p w14:paraId="1ECF76B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仿宋" w:hAnsi="仿宋" w:eastAsia="仿宋" w:cs="仿宋"/>
          <w:sz w:val="24"/>
          <w:szCs w:val="24"/>
          <w:lang w:val="en-US" w:eastAsia="zh-CN"/>
        </w:rPr>
      </w:pPr>
    </w:p>
    <w:p w14:paraId="40C64B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四</w:t>
      </w:r>
      <w:r>
        <w:rPr>
          <w:rFonts w:hint="eastAsia" w:ascii="仿宋" w:hAnsi="仿宋" w:eastAsia="仿宋" w:cs="仿宋"/>
          <w:b/>
          <w:bCs/>
          <w:color w:val="000000" w:themeColor="text1"/>
          <w:sz w:val="28"/>
          <w:szCs w:val="28"/>
          <w14:textFill>
            <w14:solidFill>
              <w14:schemeClr w14:val="tx1"/>
            </w14:solidFill>
          </w14:textFill>
        </w:rPr>
        <w:t>、费用及资助说明</w:t>
      </w:r>
      <w:bookmarkStart w:id="0" w:name="OLE_LINK2"/>
      <w:bookmarkStart w:id="1" w:name="OLE_LINK1"/>
    </w:p>
    <w:bookmarkEnd w:id="0"/>
    <w:bookmarkEnd w:id="1"/>
    <w:p w14:paraId="0499D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themeColor="text1"/>
          <w:sz w:val="24"/>
          <w:szCs w:val="24"/>
          <w:lang w:val="en-US" w:eastAsia="zh-CN"/>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项目费用</w:t>
      </w:r>
      <w:r>
        <w:rPr>
          <w:rFonts w:hint="eastAsia" w:ascii="仿宋" w:hAnsi="仿宋" w:eastAsia="仿宋" w:cs="仿宋"/>
          <w:b/>
          <w:bCs/>
          <w:color w:val="000000" w:themeColor="text1"/>
          <w:sz w:val="24"/>
          <w:szCs w:val="24"/>
          <w:lang w:val="en-US" w:eastAsia="zh-CN"/>
          <w14:textFill>
            <w14:solidFill>
              <w14:schemeClr w14:val="tx1"/>
            </w14:solidFill>
          </w14:textFill>
        </w:rPr>
        <w:t>：</w:t>
      </w:r>
    </w:p>
    <w:p w14:paraId="40C64BF5">
      <w:pPr>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含往返9天项目为3600澳元，约1.68万元人民币</w:t>
      </w:r>
      <w:r>
        <w:rPr>
          <w:rFonts w:hint="eastAsia" w:ascii="仿宋" w:hAnsi="仿宋" w:eastAsia="仿宋" w:cs="仿宋"/>
          <w:b w:val="0"/>
          <w:bCs w:val="0"/>
          <w:color w:val="000000" w:themeColor="text1"/>
          <w:sz w:val="24"/>
          <w:szCs w:val="24"/>
          <w14:textFill>
            <w14:solidFill>
              <w14:schemeClr w14:val="tx1"/>
            </w14:solidFill>
          </w14:textFill>
        </w:rPr>
        <w:t>，</w:t>
      </w:r>
      <w:r>
        <w:rPr>
          <w:rFonts w:hint="eastAsia" w:ascii="仿宋" w:hAnsi="仿宋" w:eastAsia="仿宋" w:cs="仿宋"/>
          <w:b w:val="0"/>
          <w:bCs w:val="0"/>
          <w:color w:val="000000" w:themeColor="text1"/>
          <w:sz w:val="24"/>
          <w:szCs w:val="24"/>
          <w:lang w:val="en-US" w:eastAsia="zh-CN"/>
          <w14:textFill>
            <w14:solidFill>
              <w14:schemeClr w14:val="tx1"/>
            </w14:solidFill>
          </w14:textFill>
        </w:rPr>
        <w:t>包含学费、活动课费用、项目管理服务费、住宿及统一接送机费用；不含国际往返机票、签证及第三方专业机构代办费、境外保险费和个人消费。</w:t>
      </w:r>
    </w:p>
    <w:p w14:paraId="0B3DAE3A">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（2）自费选配：悉尼文化考察费用为2750澳元，约1.29万元人民币，包含墨尔本-悉尼机票费、住宿（含早餐）、统一交通、导游、行程内包含的考察景点门票。</w:t>
      </w:r>
    </w:p>
    <w:p w14:paraId="40C64B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bCs/>
          <w:color w:val="000000" w:themeColor="text1"/>
          <w:sz w:val="24"/>
          <w:szCs w:val="24"/>
          <w14:textFill>
            <w14:solidFill>
              <w14:schemeClr w14:val="tx1"/>
            </w14:solidFill>
          </w14:textFill>
        </w:rPr>
        <w:t>其余费用参考：</w:t>
      </w:r>
      <w:r>
        <w:rPr>
          <w:rFonts w:hint="eastAsia" w:ascii="仿宋" w:hAnsi="仿宋" w:eastAsia="仿宋" w:cs="仿宋"/>
          <w:b w:val="0"/>
          <w:bCs w:val="0"/>
          <w:color w:val="000000" w:themeColor="text1"/>
          <w:sz w:val="24"/>
          <w:szCs w:val="24"/>
          <w14:textFill>
            <w14:solidFill>
              <w14:schemeClr w14:val="tx1"/>
            </w14:solidFill>
          </w14:textFill>
        </w:rPr>
        <w:t>机票、</w:t>
      </w:r>
      <w:r>
        <w:rPr>
          <w:rFonts w:hint="eastAsia" w:ascii="仿宋" w:hAnsi="仿宋" w:eastAsia="仿宋" w:cs="仿宋"/>
          <w:b w:val="0"/>
          <w:bCs w:val="0"/>
          <w:color w:val="000000" w:themeColor="text1"/>
          <w:sz w:val="24"/>
          <w:szCs w:val="24"/>
          <w:lang w:val="en-US" w:eastAsia="zh-CN"/>
          <w14:textFill>
            <w14:solidFill>
              <w14:schemeClr w14:val="tx1"/>
            </w14:solidFill>
          </w14:textFill>
        </w:rPr>
        <w:t>签证及第三方专业机构代办费</w:t>
      </w:r>
      <w:r>
        <w:rPr>
          <w:rFonts w:hint="eastAsia" w:ascii="仿宋" w:hAnsi="仿宋" w:eastAsia="仿宋" w:cs="仿宋"/>
          <w:b w:val="0"/>
          <w:bCs w:val="0"/>
          <w:color w:val="000000" w:themeColor="text1"/>
          <w:sz w:val="24"/>
          <w:szCs w:val="24"/>
          <w14:textFill>
            <w14:solidFill>
              <w14:schemeClr w14:val="tx1"/>
            </w14:solidFill>
          </w14:textFill>
        </w:rPr>
        <w:t>、境外保险、生活费等费用须自付。项目方协助办理各项事宜，并提供衣食住行指导。</w:t>
      </w:r>
    </w:p>
    <w:p w14:paraId="40C64BF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国际往返机票：往期价格约8000元人民币，具体以航司官网为准</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3F5398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签证及第三方专业机构代办费</w:t>
      </w:r>
      <w:r>
        <w:rPr>
          <w:rFonts w:hint="eastAsia" w:ascii="仿宋" w:hAnsi="仿宋" w:eastAsia="仿宋" w:cs="仿宋"/>
          <w:b w:val="0"/>
          <w:bCs w:val="0"/>
          <w:color w:val="000000" w:themeColor="text1"/>
          <w:sz w:val="24"/>
          <w:szCs w:val="24"/>
          <w14:textFill>
            <w14:solidFill>
              <w14:schemeClr w14:val="tx1"/>
            </w14:solidFill>
          </w14:textFill>
        </w:rPr>
        <w:t>：约</w:t>
      </w:r>
      <w:r>
        <w:rPr>
          <w:rFonts w:hint="eastAsia" w:ascii="仿宋" w:hAnsi="仿宋" w:eastAsia="仿宋" w:cs="仿宋"/>
          <w:b w:val="0"/>
          <w:bCs w:val="0"/>
          <w:color w:val="000000" w:themeColor="text1"/>
          <w:sz w:val="24"/>
          <w:szCs w:val="24"/>
          <w:lang w:val="en-US" w:eastAsia="zh-CN"/>
          <w14:textFill>
            <w14:solidFill>
              <w14:schemeClr w14:val="tx1"/>
            </w14:solidFill>
          </w14:textFill>
        </w:rPr>
        <w:t>1270元</w:t>
      </w:r>
      <w:r>
        <w:rPr>
          <w:rFonts w:hint="eastAsia" w:ascii="仿宋" w:hAnsi="仿宋" w:eastAsia="仿宋" w:cs="仿宋"/>
          <w:b w:val="0"/>
          <w:bCs w:val="0"/>
          <w:color w:val="000000" w:themeColor="text1"/>
          <w:sz w:val="24"/>
          <w:szCs w:val="24"/>
          <w14:textFill>
            <w14:solidFill>
              <w14:schemeClr w14:val="tx1"/>
            </w14:solidFill>
          </w14:textFill>
        </w:rPr>
        <w:t>人民币</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40C64BF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境外保险：约</w:t>
      </w:r>
      <w:r>
        <w:rPr>
          <w:rFonts w:hint="eastAsia" w:ascii="仿宋" w:hAnsi="仿宋" w:eastAsia="仿宋" w:cs="仿宋"/>
          <w:b w:val="0"/>
          <w:bCs w:val="0"/>
          <w:color w:val="000000" w:themeColor="text1"/>
          <w:sz w:val="24"/>
          <w:szCs w:val="24"/>
          <w:lang w:val="en-US" w:eastAsia="zh-CN"/>
          <w14:textFill>
            <w14:solidFill>
              <w14:schemeClr w14:val="tx1"/>
            </w14:solidFill>
          </w14:textFill>
        </w:rPr>
        <w:t>350</w:t>
      </w:r>
      <w:r>
        <w:rPr>
          <w:rFonts w:hint="eastAsia" w:ascii="仿宋" w:hAnsi="仿宋" w:eastAsia="仿宋" w:cs="仿宋"/>
          <w:b w:val="0"/>
          <w:bCs w:val="0"/>
          <w:color w:val="000000" w:themeColor="text1"/>
          <w:sz w:val="24"/>
          <w:szCs w:val="24"/>
          <w14:textFill>
            <w14:solidFill>
              <w14:schemeClr w14:val="tx1"/>
            </w14:solidFill>
          </w14:textFill>
        </w:rPr>
        <w:t>元人民币</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005146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1F2329"/>
          <w:spacing w:val="0"/>
          <w:sz w:val="28"/>
          <w:szCs w:val="28"/>
          <w:shd w:val="clear" w:fill="FFFFFF"/>
          <w:lang w:eastAsia="zh-CN"/>
        </w:rPr>
      </w:pPr>
      <w:r>
        <w:rPr>
          <w:rFonts w:hint="eastAsia" w:ascii="仿宋" w:hAnsi="仿宋" w:eastAsia="仿宋" w:cs="仿宋"/>
          <w:i w:val="0"/>
          <w:iCs w:val="0"/>
          <w:caps w:val="0"/>
          <w:color w:val="1F2329"/>
          <w:spacing w:val="0"/>
          <w:sz w:val="24"/>
          <w:szCs w:val="24"/>
          <w:shd w:val="clear" w:fill="FFFFFF"/>
        </w:rPr>
        <w:t>澳洲餐费：约15</w:t>
      </w:r>
      <w:r>
        <w:rPr>
          <w:rFonts w:hint="eastAsia" w:ascii="仿宋" w:hAnsi="仿宋" w:eastAsia="仿宋" w:cs="仿宋"/>
          <w:i w:val="0"/>
          <w:iCs w:val="0"/>
          <w:caps w:val="0"/>
          <w:color w:val="1F2329"/>
          <w:spacing w:val="0"/>
          <w:sz w:val="24"/>
          <w:szCs w:val="24"/>
          <w:shd w:val="clear" w:fill="FFFFFF"/>
          <w:lang w:val="en-US" w:eastAsia="zh-CN"/>
        </w:rPr>
        <w:t>-20</w:t>
      </w:r>
      <w:r>
        <w:rPr>
          <w:rFonts w:hint="eastAsia" w:ascii="仿宋" w:hAnsi="仿宋" w:eastAsia="仿宋" w:cs="仿宋"/>
          <w:i w:val="0"/>
          <w:iCs w:val="0"/>
          <w:caps w:val="0"/>
          <w:color w:val="1F2329"/>
          <w:spacing w:val="0"/>
          <w:sz w:val="24"/>
          <w:szCs w:val="24"/>
          <w:shd w:val="clear" w:fill="FFFFFF"/>
        </w:rPr>
        <w:t>澳元/餐，可根据个人消费习惯灵活选择</w:t>
      </w:r>
      <w:r>
        <w:rPr>
          <w:rFonts w:hint="eastAsia" w:ascii="仿宋" w:hAnsi="仿宋" w:eastAsia="仿宋" w:cs="仿宋"/>
          <w:i w:val="0"/>
          <w:iCs w:val="0"/>
          <w:caps w:val="0"/>
          <w:color w:val="1F2329"/>
          <w:spacing w:val="0"/>
          <w:sz w:val="28"/>
          <w:szCs w:val="28"/>
          <w:shd w:val="clear" w:fill="FFFFFF"/>
        </w:rPr>
        <w:t>。</w:t>
      </w:r>
    </w:p>
    <w:p w14:paraId="17AB79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i w:val="0"/>
          <w:iCs w:val="0"/>
          <w:caps w:val="0"/>
          <w:color w:val="1F2329"/>
          <w:spacing w:val="0"/>
          <w:sz w:val="28"/>
          <w:szCs w:val="28"/>
          <w:shd w:val="clear" w:fill="FFFFFF"/>
        </w:rPr>
      </w:pPr>
    </w:p>
    <w:p w14:paraId="40C64B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五、申请条件</w:t>
      </w:r>
    </w:p>
    <w:p w14:paraId="40C64B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1.全日制本科生、研究生，须年满18周岁</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28B8F12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2.英语要求：须通过项目方中英文面试，熟练掌握英语听、说、读、写；CET4</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r>
        <w:rPr>
          <w:rFonts w:hint="eastAsia" w:ascii="仿宋" w:hAnsi="仿宋" w:eastAsia="仿宋" w:cs="仿宋"/>
          <w:b w:val="0"/>
          <w:bCs w:val="0"/>
          <w:color w:val="000000" w:themeColor="text1"/>
          <w:sz w:val="24"/>
          <w:szCs w:val="24"/>
          <w14:textFill>
            <w14:solidFill>
              <w14:schemeClr w14:val="tx1"/>
            </w14:solidFill>
          </w14:textFill>
        </w:rPr>
        <w:t>5</w:t>
      </w:r>
      <w:r>
        <w:rPr>
          <w:rFonts w:hint="eastAsia" w:ascii="仿宋" w:hAnsi="仿宋" w:eastAsia="仿宋" w:cs="仿宋"/>
          <w:b w:val="0"/>
          <w:bCs w:val="0"/>
          <w:color w:val="000000" w:themeColor="text1"/>
          <w:sz w:val="24"/>
          <w:szCs w:val="24"/>
          <w:lang w:val="en-US" w:eastAsia="zh-CN"/>
          <w14:textFill>
            <w14:solidFill>
              <w14:schemeClr w14:val="tx1"/>
            </w14:solidFill>
          </w14:textFill>
        </w:rPr>
        <w:t>0</w:t>
      </w:r>
      <w:r>
        <w:rPr>
          <w:rFonts w:hint="eastAsia" w:ascii="仿宋" w:hAnsi="仿宋" w:eastAsia="仿宋" w:cs="仿宋"/>
          <w:b w:val="0"/>
          <w:bCs w:val="0"/>
          <w:color w:val="000000" w:themeColor="text1"/>
          <w:sz w:val="24"/>
          <w:szCs w:val="24"/>
          <w14:textFill>
            <w14:solidFill>
              <w14:schemeClr w14:val="tx1"/>
            </w14:solidFill>
          </w14:textFill>
        </w:rPr>
        <w:t>0分</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r>
        <w:rPr>
          <w:rFonts w:hint="eastAsia" w:ascii="仿宋" w:hAnsi="仿宋" w:eastAsia="仿宋" w:cs="仿宋"/>
          <w:b w:val="0"/>
          <w:bCs w:val="0"/>
          <w:color w:val="000000" w:themeColor="text1"/>
          <w:sz w:val="24"/>
          <w:szCs w:val="24"/>
          <w14:textFill>
            <w14:solidFill>
              <w14:schemeClr w14:val="tx1"/>
            </w14:solidFill>
          </w14:textFill>
        </w:rPr>
        <w:t>CET</w:t>
      </w:r>
      <w:r>
        <w:rPr>
          <w:rFonts w:hint="eastAsia" w:ascii="仿宋" w:hAnsi="仿宋" w:eastAsia="仿宋" w:cs="仿宋"/>
          <w:b w:val="0"/>
          <w:bCs w:val="0"/>
          <w:color w:val="000000" w:themeColor="text1"/>
          <w:sz w:val="24"/>
          <w:szCs w:val="24"/>
          <w:lang w:val="en-US" w:eastAsia="zh-CN"/>
          <w14:textFill>
            <w14:solidFill>
              <w14:schemeClr w14:val="tx1"/>
            </w14:solidFill>
          </w14:textFill>
        </w:rPr>
        <w:t>6-45</w:t>
      </w:r>
      <w:r>
        <w:rPr>
          <w:rFonts w:hint="eastAsia" w:ascii="仿宋" w:hAnsi="仿宋" w:eastAsia="仿宋" w:cs="仿宋"/>
          <w:b w:val="0"/>
          <w:bCs w:val="0"/>
          <w:color w:val="000000" w:themeColor="text1"/>
          <w:sz w:val="24"/>
          <w:szCs w:val="24"/>
          <w14:textFill>
            <w14:solidFill>
              <w14:schemeClr w14:val="tx1"/>
            </w14:solidFill>
          </w14:textFill>
        </w:rPr>
        <w:t>0分</w:t>
      </w:r>
      <w:r>
        <w:rPr>
          <w:rFonts w:hint="eastAsia" w:ascii="仿宋" w:hAnsi="仿宋" w:eastAsia="仿宋" w:cs="仿宋"/>
          <w:b w:val="0"/>
          <w:bCs w:val="0"/>
          <w:color w:val="000000" w:themeColor="text1"/>
          <w:sz w:val="24"/>
          <w:szCs w:val="24"/>
          <w:lang w:val="en-US" w:eastAsia="zh-CN"/>
          <w14:textFill>
            <w14:solidFill>
              <w14:schemeClr w14:val="tx1"/>
            </w14:solidFill>
          </w14:textFill>
        </w:rPr>
        <w:t>/</w:t>
      </w:r>
      <w:r>
        <w:rPr>
          <w:rFonts w:hint="eastAsia" w:ascii="仿宋" w:hAnsi="仿宋" w:eastAsia="仿宋" w:cs="仿宋"/>
          <w:b w:val="0"/>
          <w:bCs w:val="0"/>
          <w:color w:val="000000" w:themeColor="text1"/>
          <w:sz w:val="24"/>
          <w:szCs w:val="24"/>
          <w14:textFill>
            <w14:solidFill>
              <w14:schemeClr w14:val="tx1"/>
            </w14:solidFill>
          </w14:textFill>
        </w:rPr>
        <w:t>雅思</w:t>
      </w:r>
      <w:r>
        <w:rPr>
          <w:rFonts w:hint="eastAsia" w:ascii="仿宋" w:hAnsi="仿宋" w:eastAsia="仿宋" w:cs="仿宋"/>
          <w:b w:val="0"/>
          <w:bCs w:val="0"/>
          <w:color w:val="000000" w:themeColor="text1"/>
          <w:sz w:val="24"/>
          <w:szCs w:val="24"/>
          <w:lang w:val="en-US" w:eastAsia="zh-CN"/>
          <w14:textFill>
            <w14:solidFill>
              <w14:schemeClr w14:val="tx1"/>
            </w14:solidFill>
          </w14:textFill>
        </w:rPr>
        <w:t>6</w:t>
      </w:r>
      <w:r>
        <w:rPr>
          <w:rFonts w:hint="eastAsia" w:ascii="仿宋" w:hAnsi="仿宋" w:eastAsia="仿宋" w:cs="仿宋"/>
          <w:b w:val="0"/>
          <w:bCs w:val="0"/>
          <w:color w:val="000000" w:themeColor="text1"/>
          <w:sz w:val="24"/>
          <w:szCs w:val="24"/>
          <w14:textFill>
            <w14:solidFill>
              <w14:schemeClr w14:val="tx1"/>
            </w14:solidFill>
          </w14:textFill>
        </w:rPr>
        <w:t>分及以上水平</w:t>
      </w:r>
      <w:r>
        <w:rPr>
          <w:rFonts w:hint="eastAsia" w:ascii="仿宋" w:hAnsi="仿宋" w:eastAsia="仿宋" w:cs="仿宋"/>
          <w:b w:val="0"/>
          <w:bCs w:val="0"/>
          <w:color w:val="000000" w:themeColor="text1"/>
          <w:sz w:val="24"/>
          <w:szCs w:val="24"/>
          <w:lang w:val="en-US" w:eastAsia="zh-CN"/>
          <w14:textFill>
            <w14:solidFill>
              <w14:schemeClr w14:val="tx1"/>
            </w14:solidFill>
          </w14:textFill>
        </w:rPr>
        <w:t>优先考虑</w:t>
      </w:r>
      <w:r>
        <w:rPr>
          <w:rFonts w:hint="eastAsia" w:ascii="仿宋" w:hAnsi="仿宋" w:eastAsia="仿宋" w:cs="仿宋"/>
          <w:b w:val="0"/>
          <w:bCs w:val="0"/>
          <w:color w:val="000000" w:themeColor="text1"/>
          <w:sz w:val="24"/>
          <w:szCs w:val="24"/>
          <w:lang w:eastAsia="zh-CN"/>
          <w14:textFill>
            <w14:solidFill>
              <w14:schemeClr w14:val="tx1"/>
            </w14:solidFill>
          </w14:textFill>
        </w:rPr>
        <w:t>。</w:t>
      </w:r>
    </w:p>
    <w:p w14:paraId="2861DF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3.身心健康，无重大疾病或不适宜出国交流的健康状况。</w:t>
      </w:r>
    </w:p>
    <w:p w14:paraId="7FC8D9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4.</w:t>
      </w:r>
      <w:r>
        <w:rPr>
          <w:rFonts w:hint="eastAsia" w:ascii="仿宋" w:hAnsi="仿宋" w:eastAsia="仿宋" w:cs="仿宋"/>
          <w:b w:val="0"/>
          <w:bCs w:val="0"/>
          <w:color w:val="000000" w:themeColor="text1"/>
          <w:sz w:val="24"/>
          <w:szCs w:val="24"/>
          <w14:textFill>
            <w14:solidFill>
              <w14:schemeClr w14:val="tx1"/>
            </w14:solidFill>
          </w14:textFill>
        </w:rPr>
        <w:t>遵纪守法，自觉维护国家形象和学校名誉。</w:t>
      </w:r>
    </w:p>
    <w:p w14:paraId="567418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p>
    <w:p w14:paraId="40C64C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 w:val="28"/>
          <w:szCs w:val="28"/>
          <w:lang w:val="en-US" w:eastAsia="zh-CN"/>
          <w14:textFill>
            <w14:solidFill>
              <w14:schemeClr w14:val="tx1"/>
            </w14:solidFill>
          </w14:textFill>
        </w:rPr>
        <w:t>六、报名与咨询</w:t>
      </w:r>
    </w:p>
    <w:p w14:paraId="40C64C0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1.按学校要求填写校内报名表。</w:t>
      </w:r>
    </w:p>
    <w:p w14:paraId="40C64C07">
      <w:pPr>
        <w:keepNext w:val="0"/>
        <w:keepLines w:val="0"/>
        <w:pageBreakBefore w:val="0"/>
        <w:widowControl w:val="0"/>
        <w:numPr>
          <w:ilvl w:val="0"/>
          <w:numId w:val="5"/>
        </w:numPr>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打开链接：</w:t>
      </w:r>
      <w:r>
        <w:rPr>
          <w:rFonts w:hint="eastAsia" w:ascii="仿宋" w:hAnsi="仿宋" w:eastAsia="仿宋" w:cs="仿宋"/>
          <w:b w:val="0"/>
          <w:bCs w:val="0"/>
          <w:color w:val="000000" w:themeColor="text1"/>
          <w:sz w:val="24"/>
          <w:szCs w:val="24"/>
          <w14:textFill>
            <w14:solidFill>
              <w14:schemeClr w14:val="tx1"/>
            </w14:solidFill>
          </w14:textFill>
        </w:rPr>
        <w:fldChar w:fldCharType="begin"/>
      </w:r>
      <w:r>
        <w:rPr>
          <w:rFonts w:hint="eastAsia" w:ascii="仿宋" w:hAnsi="仿宋" w:eastAsia="仿宋" w:cs="仿宋"/>
          <w:b w:val="0"/>
          <w:bCs w:val="0"/>
          <w:color w:val="000000" w:themeColor="text1"/>
          <w:sz w:val="24"/>
          <w:szCs w:val="24"/>
          <w14:textFill>
            <w14:solidFill>
              <w14:schemeClr w14:val="tx1"/>
            </w14:solidFill>
          </w14:textFill>
        </w:rPr>
        <w:instrText xml:space="preserve"> HYPERLINK "https://jsj.top/f/QWoIuG" </w:instrText>
      </w:r>
      <w:r>
        <w:rPr>
          <w:rFonts w:hint="eastAsia" w:ascii="仿宋" w:hAnsi="仿宋" w:eastAsia="仿宋" w:cs="仿宋"/>
          <w:b w:val="0"/>
          <w:bCs w:val="0"/>
          <w:color w:val="000000" w:themeColor="text1"/>
          <w:sz w:val="24"/>
          <w:szCs w:val="24"/>
          <w14:textFill>
            <w14:solidFill>
              <w14:schemeClr w14:val="tx1"/>
            </w14:solidFill>
          </w14:textFill>
        </w:rPr>
        <w:fldChar w:fldCharType="separate"/>
      </w:r>
      <w:r>
        <w:rPr>
          <w:rStyle w:val="10"/>
          <w:rFonts w:hint="eastAsia" w:ascii="仿宋" w:hAnsi="仿宋" w:eastAsia="仿宋" w:cs="仿宋"/>
          <w:b w:val="0"/>
          <w:bCs w:val="0"/>
          <w:sz w:val="24"/>
          <w:szCs w:val="24"/>
        </w:rPr>
        <w:t>https://jsj.top/f/QWoIuG</w:t>
      </w:r>
      <w:r>
        <w:rPr>
          <w:rFonts w:hint="eastAsia" w:ascii="仿宋" w:hAnsi="仿宋" w:eastAsia="仿宋" w:cs="仿宋"/>
          <w:b w:val="0"/>
          <w:bCs w:val="0"/>
          <w:color w:val="000000" w:themeColor="text1"/>
          <w:sz w:val="24"/>
          <w:szCs w:val="24"/>
          <w14:textFill>
            <w14:solidFill>
              <w14:schemeClr w14:val="tx1"/>
            </w14:solidFill>
          </w14:textFill>
        </w:rPr>
        <w:fldChar w:fldCharType="end"/>
      </w:r>
      <w:r>
        <w:rPr>
          <w:rFonts w:hint="eastAsia" w:ascii="仿宋" w:hAnsi="仿宋" w:eastAsia="仿宋" w:cs="仿宋"/>
          <w:b w:val="0"/>
          <w:bCs w:val="0"/>
          <w:color w:val="000000" w:themeColor="text1"/>
          <w:sz w:val="24"/>
          <w:szCs w:val="24"/>
          <w14:textFill>
            <w14:solidFill>
              <w14:schemeClr w14:val="tx1"/>
            </w14:solidFill>
          </w14:textFill>
        </w:rPr>
        <w:t>，填写项目主办方报名表。</w:t>
      </w:r>
    </w:p>
    <w:p w14:paraId="40C64C0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面试链接：</w:t>
      </w:r>
      <w:r>
        <w:rPr>
          <w:rFonts w:hint="eastAsia" w:ascii="仿宋" w:hAnsi="仿宋" w:eastAsia="仿宋" w:cs="仿宋"/>
          <w:b w:val="0"/>
          <w:bCs w:val="0"/>
          <w:color w:val="000000" w:themeColor="text1"/>
          <w:sz w:val="24"/>
          <w:szCs w:val="24"/>
          <w14:textFill>
            <w14:solidFill>
              <w14:schemeClr w14:val="tx1"/>
            </w14:solidFill>
          </w14:textFill>
        </w:rPr>
        <w:fldChar w:fldCharType="begin"/>
      </w:r>
      <w:r>
        <w:rPr>
          <w:rFonts w:hint="eastAsia" w:ascii="仿宋" w:hAnsi="仿宋" w:eastAsia="仿宋" w:cs="仿宋"/>
          <w:b w:val="0"/>
          <w:bCs w:val="0"/>
          <w:color w:val="000000" w:themeColor="text1"/>
          <w:sz w:val="24"/>
          <w:szCs w:val="24"/>
          <w14:textFill>
            <w14:solidFill>
              <w14:schemeClr w14:val="tx1"/>
            </w14:solidFill>
          </w14:textFill>
        </w:rPr>
        <w:instrText xml:space="preserve"> HYPERLINK "https://jsj.top/f/lw5gOj" </w:instrText>
      </w:r>
      <w:r>
        <w:rPr>
          <w:rFonts w:hint="eastAsia" w:ascii="仿宋" w:hAnsi="仿宋" w:eastAsia="仿宋" w:cs="仿宋"/>
          <w:b w:val="0"/>
          <w:bCs w:val="0"/>
          <w:color w:val="000000" w:themeColor="text1"/>
          <w:sz w:val="24"/>
          <w:szCs w:val="24"/>
          <w14:textFill>
            <w14:solidFill>
              <w14:schemeClr w14:val="tx1"/>
            </w14:solidFill>
          </w14:textFill>
        </w:rPr>
        <w:fldChar w:fldCharType="separate"/>
      </w:r>
      <w:r>
        <w:rPr>
          <w:rStyle w:val="12"/>
          <w:rFonts w:hint="eastAsia" w:ascii="仿宋" w:hAnsi="仿宋" w:eastAsia="仿宋" w:cs="仿宋"/>
          <w:b w:val="0"/>
          <w:bCs w:val="0"/>
          <w:sz w:val="24"/>
          <w:szCs w:val="24"/>
        </w:rPr>
        <w:t>https://jsj.top/f/lw5gOj</w:t>
      </w:r>
      <w:r>
        <w:rPr>
          <w:rFonts w:hint="eastAsia" w:ascii="仿宋" w:hAnsi="仿宋" w:eastAsia="仿宋" w:cs="仿宋"/>
          <w:b w:val="0"/>
          <w:bCs w:val="0"/>
          <w:color w:val="000000" w:themeColor="text1"/>
          <w:sz w:val="24"/>
          <w:szCs w:val="24"/>
          <w14:textFill>
            <w14:solidFill>
              <w14:schemeClr w14:val="tx1"/>
            </w14:solidFill>
          </w14:textFill>
        </w:rPr>
        <w:fldChar w:fldCharType="end"/>
      </w:r>
      <w:r>
        <w:rPr>
          <w:rFonts w:hint="eastAsia" w:ascii="仿宋" w:hAnsi="仿宋" w:eastAsia="仿宋" w:cs="仿宋"/>
          <w:b w:val="0"/>
          <w:bCs w:val="0"/>
          <w:color w:val="000000" w:themeColor="text1"/>
          <w:sz w:val="24"/>
          <w:szCs w:val="24"/>
          <w14:textFill>
            <w14:solidFill>
              <w14:schemeClr w14:val="tx1"/>
            </w14:solidFill>
          </w14:textFill>
        </w:rPr>
        <w:t>，所有报名项目的学生都要预约参加线上面试。</w:t>
      </w:r>
    </w:p>
    <w:p w14:paraId="40C64C0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报名截止时间：202</w:t>
      </w:r>
      <w:r>
        <w:rPr>
          <w:rFonts w:hint="eastAsia" w:ascii="仿宋" w:hAnsi="仿宋" w:eastAsia="仿宋" w:cs="仿宋"/>
          <w:b w:val="0"/>
          <w:bCs w:val="0"/>
          <w:color w:val="000000" w:themeColor="text1"/>
          <w:sz w:val="24"/>
          <w:szCs w:val="24"/>
          <w:lang w:val="en-US" w:eastAsia="zh-CN"/>
          <w14:textFill>
            <w14:solidFill>
              <w14:schemeClr w14:val="tx1"/>
            </w14:solidFill>
          </w14:textFill>
        </w:rPr>
        <w:t>6</w:t>
      </w:r>
      <w:r>
        <w:rPr>
          <w:rFonts w:hint="eastAsia" w:ascii="仿宋" w:hAnsi="仿宋" w:eastAsia="仿宋" w:cs="仿宋"/>
          <w:b w:val="0"/>
          <w:bCs w:val="0"/>
          <w:color w:val="000000" w:themeColor="text1"/>
          <w:sz w:val="24"/>
          <w:szCs w:val="24"/>
          <w14:textFill>
            <w14:solidFill>
              <w14:schemeClr w14:val="tx1"/>
            </w14:solidFill>
          </w14:textFill>
        </w:rPr>
        <w:t>年</w:t>
      </w:r>
      <w:r>
        <w:rPr>
          <w:rFonts w:hint="eastAsia" w:ascii="仿宋" w:hAnsi="仿宋" w:eastAsia="仿宋" w:cs="仿宋"/>
          <w:b w:val="0"/>
          <w:bCs w:val="0"/>
          <w:color w:val="000000" w:themeColor="text1"/>
          <w:sz w:val="24"/>
          <w:szCs w:val="24"/>
          <w:lang w:val="en-US" w:eastAsia="zh-CN"/>
          <w14:textFill>
            <w14:solidFill>
              <w14:schemeClr w14:val="tx1"/>
            </w14:solidFill>
          </w14:textFill>
        </w:rPr>
        <w:t>5月8</w:t>
      </w:r>
      <w:bookmarkStart w:id="2" w:name="_GoBack"/>
      <w:bookmarkEnd w:id="2"/>
      <w:r>
        <w:rPr>
          <w:rFonts w:hint="eastAsia" w:ascii="仿宋" w:hAnsi="仿宋" w:eastAsia="仿宋" w:cs="仿宋"/>
          <w:b w:val="0"/>
          <w:bCs w:val="0"/>
          <w:color w:val="000000" w:themeColor="text1"/>
          <w:sz w:val="24"/>
          <w:szCs w:val="24"/>
          <w14:textFill>
            <w14:solidFill>
              <w14:schemeClr w14:val="tx1"/>
            </w14:solidFill>
          </w14:textFill>
        </w:rPr>
        <w:t>日</w:t>
      </w:r>
    </w:p>
    <w:p w14:paraId="40C64C0C">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合作院校相关部门联系方式：</w:t>
      </w:r>
      <w:r>
        <w:rPr>
          <w:rFonts w:hint="eastAsia" w:ascii="仿宋" w:hAnsi="仿宋" w:eastAsia="仿宋" w:cs="仿宋"/>
          <w:b w:val="0"/>
          <w:bCs w:val="0"/>
          <w:color w:val="000000" w:themeColor="text1"/>
          <w:sz w:val="24"/>
          <w:szCs w:val="24"/>
          <w:lang w:val="en-US" w:eastAsia="zh-CN"/>
          <w14:textFill>
            <w14:solidFill>
              <w14:schemeClr w14:val="tx1"/>
            </w14:solidFill>
          </w14:textFill>
        </w:rPr>
        <w:t>张老师 5881161</w:t>
      </w:r>
    </w:p>
    <w:p w14:paraId="7AF203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项目老师</w:t>
      </w:r>
      <w:r>
        <w:rPr>
          <w:rFonts w:hint="eastAsia" w:ascii="仿宋" w:hAnsi="仿宋" w:eastAsia="仿宋" w:cs="仿宋"/>
          <w:b w:val="0"/>
          <w:bCs w:val="0"/>
          <w:color w:val="000000" w:themeColor="text1"/>
          <w:sz w:val="24"/>
          <w:szCs w:val="24"/>
          <w14:textFill>
            <w14:solidFill>
              <w14:schemeClr w14:val="tx1"/>
            </w14:solidFill>
          </w14:textFill>
        </w:rPr>
        <w:t>咨询手机/微信</w:t>
      </w:r>
      <w:r>
        <w:rPr>
          <w:rFonts w:hint="eastAsia" w:ascii="仿宋" w:hAnsi="仿宋" w:eastAsia="仿宋" w:cs="仿宋"/>
          <w:b w:val="0"/>
          <w:bCs w:val="0"/>
          <w:color w:val="000000" w:themeColor="text1"/>
          <w:sz w:val="24"/>
          <w:szCs w:val="24"/>
          <w:lang w:eastAsia="zh-CN"/>
          <w14:textFill>
            <w14:solidFill>
              <w14:schemeClr w14:val="tx1"/>
            </w14:solidFill>
          </w14:textFill>
        </w:rPr>
        <w:t>（</w:t>
      </w:r>
      <w:r>
        <w:rPr>
          <w:rFonts w:hint="eastAsia" w:ascii="仿宋" w:hAnsi="仿宋" w:eastAsia="仿宋" w:cs="仿宋"/>
          <w:b w:val="0"/>
          <w:bCs w:val="0"/>
          <w:color w:val="000000" w:themeColor="text1"/>
          <w:sz w:val="24"/>
          <w:szCs w:val="24"/>
          <w:lang w:val="en-US" w:eastAsia="zh-CN"/>
          <w14:textFill>
            <w14:solidFill>
              <w14:schemeClr w14:val="tx1"/>
            </w14:solidFill>
          </w14:textFill>
        </w:rPr>
        <w:t>Bella老师）</w:t>
      </w:r>
      <w:r>
        <w:rPr>
          <w:rFonts w:hint="eastAsia" w:ascii="仿宋" w:hAnsi="仿宋" w:eastAsia="仿宋" w:cs="仿宋"/>
          <w:b w:val="0"/>
          <w:bCs w:val="0"/>
          <w:color w:val="000000" w:themeColor="text1"/>
          <w:sz w:val="24"/>
          <w:szCs w:val="24"/>
          <w14:textFill>
            <w14:solidFill>
              <w14:schemeClr w14:val="tx1"/>
            </w14:solidFill>
          </w14:textFill>
        </w:rPr>
        <w:t>：18529396675</w:t>
      </w:r>
    </w:p>
    <w:p w14:paraId="6FAAD5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t>访学项目部电话：020-82002936</w:t>
      </w:r>
    </w:p>
    <w:p w14:paraId="40C64C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fldChar w:fldCharType="begin"/>
      </w:r>
      <w:r>
        <w:rPr>
          <w:rFonts w:hint="eastAsia" w:ascii="仿宋" w:hAnsi="仿宋" w:eastAsia="仿宋" w:cs="仿宋"/>
          <w:b w:val="0"/>
          <w:bCs w:val="0"/>
          <w:color w:val="000000" w:themeColor="text1"/>
          <w:sz w:val="24"/>
          <w:szCs w:val="24"/>
          <w14:textFill>
            <w14:solidFill>
              <w14:schemeClr w14:val="tx1"/>
            </w14:solidFill>
          </w14:textFill>
        </w:rPr>
        <w:instrText xml:space="preserve"> HYPERLINK "https://book.yunzhan365.com/hobdw/afws/mobile/index.html" </w:instrText>
      </w:r>
      <w:r>
        <w:rPr>
          <w:rFonts w:hint="eastAsia" w:ascii="仿宋" w:hAnsi="仿宋" w:eastAsia="仿宋" w:cs="仿宋"/>
          <w:b w:val="0"/>
          <w:bCs w:val="0"/>
          <w:color w:val="000000" w:themeColor="text1"/>
          <w:sz w:val="24"/>
          <w:szCs w:val="24"/>
          <w14:textFill>
            <w14:solidFill>
              <w14:schemeClr w14:val="tx1"/>
            </w14:solidFill>
          </w14:textFill>
        </w:rPr>
        <w:fldChar w:fldCharType="separate"/>
      </w:r>
      <w:r>
        <w:rPr>
          <w:rFonts w:hint="eastAsia" w:ascii="仿宋" w:hAnsi="仿宋" w:eastAsia="仿宋" w:cs="仿宋"/>
          <w:b w:val="0"/>
          <w:bCs w:val="0"/>
          <w:color w:val="000000" w:themeColor="text1"/>
          <w:sz w:val="24"/>
          <w:szCs w:val="24"/>
          <w14:textFill>
            <w14:solidFill>
              <w14:schemeClr w14:val="tx1"/>
            </w14:solidFill>
          </w14:textFill>
        </w:rPr>
        <w:t>附件—2026年暑期澳大利亚墨尔本大学学术写作与科研能力提升访学项目</w:t>
      </w:r>
    </w:p>
    <w:p w14:paraId="0D9ABC7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val="0"/>
          <w:color w:val="000000" w:themeColor="text1"/>
          <w:sz w:val="24"/>
          <w:szCs w:val="24"/>
          <w:lang w:val="en-US" w:eastAsia="zh-CN"/>
          <w14:textFill>
            <w14:solidFill>
              <w14:schemeClr w14:val="tx1"/>
            </w14:solidFill>
          </w14:textFill>
        </w:rPr>
      </w:pPr>
      <w:r>
        <w:rPr>
          <w:rFonts w:hint="eastAsia" w:ascii="仿宋" w:hAnsi="仿宋" w:eastAsia="仿宋" w:cs="仿宋"/>
          <w:b w:val="0"/>
          <w:bCs w:val="0"/>
          <w:color w:val="000000" w:themeColor="text1"/>
          <w:sz w:val="24"/>
          <w:szCs w:val="24"/>
          <w14:textFill>
            <w14:solidFill>
              <w14:schemeClr w14:val="tx1"/>
            </w14:solidFill>
          </w14:textFill>
        </w:rPr>
        <w:fldChar w:fldCharType="end"/>
      </w:r>
      <w:r>
        <w:rPr>
          <w:rFonts w:hint="eastAsia" w:ascii="仿宋" w:hAnsi="仿宋" w:eastAsia="仿宋" w:cs="仿宋"/>
          <w:b w:val="0"/>
          <w:bCs w:val="0"/>
          <w:color w:val="000000" w:themeColor="text1"/>
          <w:sz w:val="24"/>
          <w:szCs w:val="24"/>
          <w:lang w:val="en-US" w:eastAsia="zh-CN"/>
          <w14:textFill>
            <w14:solidFill>
              <w14:schemeClr w14:val="tx1"/>
            </w14:solidFill>
          </w14:textFill>
        </w:rPr>
        <w:t>点击链接或扫描二维码查看附件：</w:t>
      </w:r>
    </w:p>
    <w:p w14:paraId="5865EFD7">
      <w:pPr>
        <w:pStyle w:val="4"/>
        <w:ind w:left="0" w:leftChars="0" w:firstLine="0" w:firstLineChars="0"/>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fldChar w:fldCharType="begin"/>
      </w:r>
      <w:r>
        <w:rPr>
          <w:rFonts w:hint="default" w:ascii="Times New Roman" w:hAnsi="Times New Roman" w:cs="Times New Roman"/>
          <w:sz w:val="24"/>
          <w:szCs w:val="24"/>
          <w:lang w:val="en-US" w:eastAsia="zh-CN"/>
        </w:rPr>
        <w:instrText xml:space="preserve"> HYPERLINK "https://book.yunzhan365.com/vfzcj/xxfb/mobile/index.html" </w:instrText>
      </w:r>
      <w:r>
        <w:rPr>
          <w:rFonts w:hint="default" w:ascii="Times New Roman" w:hAnsi="Times New Roman" w:cs="Times New Roman"/>
          <w:sz w:val="24"/>
          <w:szCs w:val="24"/>
          <w:lang w:val="en-US" w:eastAsia="zh-CN"/>
        </w:rPr>
        <w:fldChar w:fldCharType="separate"/>
      </w:r>
      <w:r>
        <w:rPr>
          <w:rStyle w:val="10"/>
          <w:rFonts w:hint="default" w:ascii="Times New Roman" w:hAnsi="Times New Roman" w:cs="Times New Roman"/>
          <w:sz w:val="24"/>
          <w:szCs w:val="24"/>
          <w:lang w:val="en-US" w:eastAsia="zh-CN"/>
        </w:rPr>
        <w:t>https://book.yunzhan365.com/vfzcj/xxfb/mobile/index.html</w:t>
      </w:r>
      <w:r>
        <w:rPr>
          <w:rFonts w:hint="default" w:ascii="Times New Roman" w:hAnsi="Times New Roman" w:cs="Times New Roman"/>
          <w:sz w:val="24"/>
          <w:szCs w:val="24"/>
          <w:lang w:val="en-US" w:eastAsia="zh-CN"/>
        </w:rPr>
        <w:fldChar w:fldCharType="end"/>
      </w:r>
    </w:p>
    <w:p w14:paraId="45111C2D">
      <w:pPr>
        <w:pStyle w:val="4"/>
        <w:ind w:left="0" w:leftChars="0" w:firstLine="0" w:firstLineChars="0"/>
        <w:rPr>
          <w:rFonts w:hint="default" w:ascii="仿宋" w:hAnsi="仿宋" w:eastAsia="仿宋" w:cs="仿宋"/>
          <w:sz w:val="24"/>
          <w:szCs w:val="32"/>
          <w:lang w:val="en-US" w:eastAsia="zh-CN"/>
        </w:rPr>
      </w:pPr>
      <w:r>
        <w:drawing>
          <wp:inline distT="0" distB="0" distL="114300" distR="114300">
            <wp:extent cx="1144905" cy="1144905"/>
            <wp:effectExtent l="0" t="0" r="1714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1144905" cy="114490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99CF5"/>
    <w:multiLevelType w:val="singleLevel"/>
    <w:tmpl w:val="92899CF5"/>
    <w:lvl w:ilvl="0" w:tentative="0">
      <w:start w:val="1"/>
      <w:numFmt w:val="decimal"/>
      <w:suff w:val="nothing"/>
      <w:lvlText w:val="（%1）"/>
      <w:lvlJc w:val="left"/>
    </w:lvl>
  </w:abstractNum>
  <w:abstractNum w:abstractNumId="1">
    <w:nsid w:val="CCB9604F"/>
    <w:multiLevelType w:val="singleLevel"/>
    <w:tmpl w:val="CCB9604F"/>
    <w:lvl w:ilvl="0" w:tentative="0">
      <w:start w:val="1"/>
      <w:numFmt w:val="decimal"/>
      <w:suff w:val="nothing"/>
      <w:lvlText w:val="（%1）"/>
      <w:lvlJc w:val="left"/>
    </w:lvl>
  </w:abstractNum>
  <w:abstractNum w:abstractNumId="2">
    <w:nsid w:val="DA4A2603"/>
    <w:multiLevelType w:val="singleLevel"/>
    <w:tmpl w:val="DA4A2603"/>
    <w:lvl w:ilvl="0" w:tentative="0">
      <w:start w:val="1"/>
      <w:numFmt w:val="decimal"/>
      <w:suff w:val="nothing"/>
      <w:lvlText w:val="（%1）"/>
      <w:lvlJc w:val="left"/>
    </w:lvl>
  </w:abstractNum>
  <w:abstractNum w:abstractNumId="3">
    <w:nsid w:val="EEEFD8C0"/>
    <w:multiLevelType w:val="singleLevel"/>
    <w:tmpl w:val="EEEFD8C0"/>
    <w:lvl w:ilvl="0" w:tentative="0">
      <w:start w:val="2"/>
      <w:numFmt w:val="decimal"/>
      <w:lvlText w:val="%1."/>
      <w:lvlJc w:val="left"/>
      <w:pPr>
        <w:tabs>
          <w:tab w:val="left" w:pos="312"/>
        </w:tabs>
      </w:pPr>
    </w:lvl>
  </w:abstractNum>
  <w:abstractNum w:abstractNumId="4">
    <w:nsid w:val="F2705967"/>
    <w:multiLevelType w:val="singleLevel"/>
    <w:tmpl w:val="F2705967"/>
    <w:lvl w:ilvl="0" w:tentative="0">
      <w:start w:val="3"/>
      <w:numFmt w:val="decimal"/>
      <w:suff w:val="space"/>
      <w:lvlText w:val="%1."/>
      <w:lvlJc w:val="left"/>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C204B"/>
    <w:rsid w:val="009F5935"/>
    <w:rsid w:val="00F66CE8"/>
    <w:rsid w:val="010827C0"/>
    <w:rsid w:val="03BC7892"/>
    <w:rsid w:val="08391C14"/>
    <w:rsid w:val="09A6526C"/>
    <w:rsid w:val="0A5F67C4"/>
    <w:rsid w:val="0AEA63B7"/>
    <w:rsid w:val="0B0F299D"/>
    <w:rsid w:val="0B1D50BA"/>
    <w:rsid w:val="0BA61553"/>
    <w:rsid w:val="0BB22AA9"/>
    <w:rsid w:val="0C8C699B"/>
    <w:rsid w:val="0CC31D23"/>
    <w:rsid w:val="0D10137A"/>
    <w:rsid w:val="0D766D04"/>
    <w:rsid w:val="0DAD4E1B"/>
    <w:rsid w:val="0E905A81"/>
    <w:rsid w:val="0ECA4B48"/>
    <w:rsid w:val="0F6E05DA"/>
    <w:rsid w:val="0FCD3553"/>
    <w:rsid w:val="122A435A"/>
    <w:rsid w:val="128E689D"/>
    <w:rsid w:val="13410312"/>
    <w:rsid w:val="154E0012"/>
    <w:rsid w:val="16261B53"/>
    <w:rsid w:val="163A6AD4"/>
    <w:rsid w:val="173E4D36"/>
    <w:rsid w:val="17946704"/>
    <w:rsid w:val="183E144C"/>
    <w:rsid w:val="183F05BC"/>
    <w:rsid w:val="18A92683"/>
    <w:rsid w:val="18DF4358"/>
    <w:rsid w:val="19940C3D"/>
    <w:rsid w:val="19D92AF4"/>
    <w:rsid w:val="1B1C08C9"/>
    <w:rsid w:val="1B343A52"/>
    <w:rsid w:val="1C1C4F1A"/>
    <w:rsid w:val="1C3D55BC"/>
    <w:rsid w:val="1CB33AD0"/>
    <w:rsid w:val="1D904C7A"/>
    <w:rsid w:val="1E8F5E77"/>
    <w:rsid w:val="1EC664A9"/>
    <w:rsid w:val="20164539"/>
    <w:rsid w:val="20653333"/>
    <w:rsid w:val="2132149D"/>
    <w:rsid w:val="227855A0"/>
    <w:rsid w:val="227E42F8"/>
    <w:rsid w:val="22AA7723"/>
    <w:rsid w:val="26355556"/>
    <w:rsid w:val="26D42340"/>
    <w:rsid w:val="271C2272"/>
    <w:rsid w:val="27BB7CDD"/>
    <w:rsid w:val="2A2D4EC2"/>
    <w:rsid w:val="2B110340"/>
    <w:rsid w:val="2B3C54A8"/>
    <w:rsid w:val="2BB138D1"/>
    <w:rsid w:val="2C834431"/>
    <w:rsid w:val="2C867F83"/>
    <w:rsid w:val="2D376E83"/>
    <w:rsid w:val="2D3C541C"/>
    <w:rsid w:val="2DA27975"/>
    <w:rsid w:val="2DB068A4"/>
    <w:rsid w:val="2DBD47AF"/>
    <w:rsid w:val="2E9077CD"/>
    <w:rsid w:val="2EEC05AE"/>
    <w:rsid w:val="2F2F66E3"/>
    <w:rsid w:val="2FA3253D"/>
    <w:rsid w:val="305B02AF"/>
    <w:rsid w:val="30EB7F3D"/>
    <w:rsid w:val="32140715"/>
    <w:rsid w:val="333022DF"/>
    <w:rsid w:val="335258A9"/>
    <w:rsid w:val="33A22EFF"/>
    <w:rsid w:val="34452D8A"/>
    <w:rsid w:val="347673CF"/>
    <w:rsid w:val="34C72269"/>
    <w:rsid w:val="34F128C2"/>
    <w:rsid w:val="35A62AF2"/>
    <w:rsid w:val="35F83E92"/>
    <w:rsid w:val="35F87229"/>
    <w:rsid w:val="36271729"/>
    <w:rsid w:val="36826596"/>
    <w:rsid w:val="36E03FBC"/>
    <w:rsid w:val="37721874"/>
    <w:rsid w:val="3809239F"/>
    <w:rsid w:val="389B6222"/>
    <w:rsid w:val="39B966FD"/>
    <w:rsid w:val="3AF94070"/>
    <w:rsid w:val="3B4402BD"/>
    <w:rsid w:val="3BFF2436"/>
    <w:rsid w:val="3C0F0B15"/>
    <w:rsid w:val="3C14129D"/>
    <w:rsid w:val="3D6E7788"/>
    <w:rsid w:val="3DF64FED"/>
    <w:rsid w:val="3F17459E"/>
    <w:rsid w:val="3F6E3B5B"/>
    <w:rsid w:val="3FB452E6"/>
    <w:rsid w:val="3FBB48C6"/>
    <w:rsid w:val="404A4EDF"/>
    <w:rsid w:val="40536E11"/>
    <w:rsid w:val="413B06B3"/>
    <w:rsid w:val="42472A8F"/>
    <w:rsid w:val="430622FC"/>
    <w:rsid w:val="432033BE"/>
    <w:rsid w:val="43C875B2"/>
    <w:rsid w:val="442B5137"/>
    <w:rsid w:val="4493196E"/>
    <w:rsid w:val="45E0753B"/>
    <w:rsid w:val="45E6171D"/>
    <w:rsid w:val="46595EC6"/>
    <w:rsid w:val="46755232"/>
    <w:rsid w:val="46DD1570"/>
    <w:rsid w:val="47E726FC"/>
    <w:rsid w:val="486A1313"/>
    <w:rsid w:val="496E6505"/>
    <w:rsid w:val="49A62E0C"/>
    <w:rsid w:val="49DA3B9B"/>
    <w:rsid w:val="4A0F4546"/>
    <w:rsid w:val="4A845D77"/>
    <w:rsid w:val="4AA124CE"/>
    <w:rsid w:val="4B112470"/>
    <w:rsid w:val="4B137F85"/>
    <w:rsid w:val="4B3D0885"/>
    <w:rsid w:val="4C431ECB"/>
    <w:rsid w:val="4E361CE8"/>
    <w:rsid w:val="4EBB3F9B"/>
    <w:rsid w:val="4F3C18B4"/>
    <w:rsid w:val="4FFA513E"/>
    <w:rsid w:val="501F5FAC"/>
    <w:rsid w:val="502618E8"/>
    <w:rsid w:val="50434FDE"/>
    <w:rsid w:val="50A56058"/>
    <w:rsid w:val="51385D77"/>
    <w:rsid w:val="51A4340C"/>
    <w:rsid w:val="51F37CFD"/>
    <w:rsid w:val="52952660"/>
    <w:rsid w:val="52BE405A"/>
    <w:rsid w:val="53364538"/>
    <w:rsid w:val="54265AE8"/>
    <w:rsid w:val="54EA55DA"/>
    <w:rsid w:val="552B0A98"/>
    <w:rsid w:val="569C5241"/>
    <w:rsid w:val="57945CD1"/>
    <w:rsid w:val="579B2BBB"/>
    <w:rsid w:val="58D24DD6"/>
    <w:rsid w:val="58FF1E58"/>
    <w:rsid w:val="59AD4E28"/>
    <w:rsid w:val="5AB24102"/>
    <w:rsid w:val="5C405A81"/>
    <w:rsid w:val="5C96458A"/>
    <w:rsid w:val="5D50269A"/>
    <w:rsid w:val="5E067B35"/>
    <w:rsid w:val="5E2751A9"/>
    <w:rsid w:val="5E63268B"/>
    <w:rsid w:val="5F8C4DAF"/>
    <w:rsid w:val="60CC1584"/>
    <w:rsid w:val="60EB4BB4"/>
    <w:rsid w:val="6157493F"/>
    <w:rsid w:val="62143C96"/>
    <w:rsid w:val="621B127A"/>
    <w:rsid w:val="629372B1"/>
    <w:rsid w:val="629C6AB7"/>
    <w:rsid w:val="63FA3360"/>
    <w:rsid w:val="63FC0E86"/>
    <w:rsid w:val="646B7DB9"/>
    <w:rsid w:val="657C227E"/>
    <w:rsid w:val="659375C8"/>
    <w:rsid w:val="67AB5E78"/>
    <w:rsid w:val="67CC7603"/>
    <w:rsid w:val="686C341A"/>
    <w:rsid w:val="69216C99"/>
    <w:rsid w:val="692E14BB"/>
    <w:rsid w:val="69434E61"/>
    <w:rsid w:val="696A567E"/>
    <w:rsid w:val="6AB719C0"/>
    <w:rsid w:val="6B686E01"/>
    <w:rsid w:val="6B7632CC"/>
    <w:rsid w:val="6B781BDB"/>
    <w:rsid w:val="6C711CE5"/>
    <w:rsid w:val="6C8607D3"/>
    <w:rsid w:val="6EB833B6"/>
    <w:rsid w:val="6EBA2FB4"/>
    <w:rsid w:val="6F68072E"/>
    <w:rsid w:val="6FD74555"/>
    <w:rsid w:val="70AE07D0"/>
    <w:rsid w:val="71725A77"/>
    <w:rsid w:val="719A4807"/>
    <w:rsid w:val="72023B0B"/>
    <w:rsid w:val="72A44BC2"/>
    <w:rsid w:val="731A6C33"/>
    <w:rsid w:val="73A46746"/>
    <w:rsid w:val="74157F65"/>
    <w:rsid w:val="74237620"/>
    <w:rsid w:val="75171CE6"/>
    <w:rsid w:val="755D0CCD"/>
    <w:rsid w:val="77274014"/>
    <w:rsid w:val="77DE46D3"/>
    <w:rsid w:val="77FA34D6"/>
    <w:rsid w:val="78434E7D"/>
    <w:rsid w:val="784D3606"/>
    <w:rsid w:val="78BC2492"/>
    <w:rsid w:val="797E5B78"/>
    <w:rsid w:val="79DD09BA"/>
    <w:rsid w:val="7A3C7DD6"/>
    <w:rsid w:val="7AFF1FEC"/>
    <w:rsid w:val="7B5E34A6"/>
    <w:rsid w:val="7C75320D"/>
    <w:rsid w:val="7CA57EB5"/>
    <w:rsid w:val="7CD71033"/>
    <w:rsid w:val="7D3E79C1"/>
    <w:rsid w:val="7D641B1E"/>
    <w:rsid w:val="7DA63EE4"/>
    <w:rsid w:val="7F833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Indent"/>
    <w:basedOn w:val="1"/>
    <w:next w:val="4"/>
    <w:semiHidden/>
    <w:unhideWhenUsed/>
    <w:qFormat/>
    <w:uiPriority w:val="99"/>
    <w:pPr>
      <w:spacing w:after="120"/>
      <w:ind w:left="420" w:leftChars="200"/>
    </w:pPr>
  </w:style>
  <w:style w:type="paragraph" w:styleId="4">
    <w:name w:val="Body Text First Indent 2"/>
    <w:basedOn w:val="3"/>
    <w:semiHidden/>
    <w:unhideWhenUsed/>
    <w:qFormat/>
    <w:uiPriority w:val="99"/>
    <w:pPr>
      <w:ind w:firstLine="420" w:firstLineChars="200"/>
    </w:pPr>
  </w:style>
  <w:style w:type="paragraph" w:styleId="5">
    <w:name w:val="Normal (Web)"/>
    <w:basedOn w:val="1"/>
    <w:qFormat/>
    <w:uiPriority w:val="0"/>
    <w:rPr>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FollowedHyperlink"/>
    <w:basedOn w:val="8"/>
    <w:qFormat/>
    <w:uiPriority w:val="0"/>
    <w:rPr>
      <w:color w:val="800080"/>
      <w:u w:val="single"/>
    </w:rPr>
  </w:style>
  <w:style w:type="character" w:styleId="11">
    <w:name w:val="Emphasis"/>
    <w:basedOn w:val="8"/>
    <w:qFormat/>
    <w:uiPriority w:val="0"/>
    <w:rPr>
      <w:i/>
    </w:rPr>
  </w:style>
  <w:style w:type="character" w:styleId="12">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2866</Words>
  <Characters>3085</Characters>
  <Lines>0</Lines>
  <Paragraphs>0</Paragraphs>
  <TotalTime>1</TotalTime>
  <ScaleCrop>false</ScaleCrop>
  <LinksUpToDate>false</LinksUpToDate>
  <CharactersWithSpaces>3086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2026-01-04T06:40:00Z</dcterms:created>
  <dc:creator>Administrator</dc:creator>
  <cp:lastModifiedBy>张重</cp:lastModifiedBy>
  <dcterms:modified xsi:type="dcterms:W3CDTF">2026-03-23T08:11:54Z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eyJoZGlkIjoiYjFhY2MyMDljZDE1Nzk3Mjg2NDBkZGM5ZmNmYWUzZjciLCJ1c2VySWQiOiIxNzE1NjI4NTI0In0=</vt:lpwstr>
  </property>
  <property fmtid="{D5CDD505-2E9C-101B-9397-08002B2CF9AE}" pid="4" name="ICV">
    <vt:lpwstr>F1F8923734804EC8B40D5DE73458FD8E_13</vt:lpwstr>
  </property>
</Properties>
</file>